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4D" w:rsidRDefault="00CB274D" w:rsidP="00CB274D">
      <w:pPr>
        <w:rPr>
          <w:rFonts w:ascii="Times New Roman" w:hAnsi="Times New Roman"/>
          <w:b/>
          <w:sz w:val="32"/>
          <w:szCs w:val="32"/>
        </w:rPr>
      </w:pPr>
      <w:r>
        <w:rPr>
          <w:rFonts w:ascii="Times New Roman" w:hAnsi="Times New Roman"/>
          <w:b/>
          <w:noProof/>
          <w:sz w:val="32"/>
          <w:szCs w:val="32"/>
          <w:lang w:eastAsia="it-IT"/>
        </w:rPr>
        <w:drawing>
          <wp:inline distT="0" distB="0" distL="0" distR="0">
            <wp:extent cx="1666875" cy="6667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66875" cy="666750"/>
                    </a:xfrm>
                    <a:prstGeom prst="rect">
                      <a:avLst/>
                    </a:prstGeom>
                    <a:noFill/>
                    <a:ln w="9525">
                      <a:noFill/>
                      <a:miter lim="800000"/>
                      <a:headEnd/>
                      <a:tailEnd/>
                    </a:ln>
                  </pic:spPr>
                </pic:pic>
              </a:graphicData>
            </a:graphic>
          </wp:inline>
        </w:drawing>
      </w:r>
      <w:r>
        <w:rPr>
          <w:rFonts w:ascii="Times New Roman" w:hAnsi="Times New Roman"/>
          <w:b/>
          <w:sz w:val="32"/>
          <w:szCs w:val="32"/>
        </w:rPr>
        <w:t xml:space="preserve">    </w:t>
      </w:r>
      <w:r>
        <w:rPr>
          <w:rFonts w:ascii="Times New Roman" w:hAnsi="Times New Roman"/>
          <w:b/>
          <w:sz w:val="24"/>
          <w:szCs w:val="24"/>
        </w:rPr>
        <w:t xml:space="preserve">AGGIORNAMENTO </w:t>
      </w:r>
      <w:r w:rsidRPr="00757016">
        <w:rPr>
          <w:rFonts w:ascii="Times New Roman" w:hAnsi="Times New Roman"/>
          <w:b/>
          <w:sz w:val="24"/>
          <w:szCs w:val="24"/>
        </w:rPr>
        <w:t xml:space="preserve"> </w:t>
      </w:r>
      <w:r>
        <w:rPr>
          <w:rFonts w:ascii="Times New Roman" w:hAnsi="Times New Roman"/>
          <w:b/>
          <w:sz w:val="24"/>
          <w:szCs w:val="24"/>
        </w:rPr>
        <w:t>Giurisprudenziale settimanale 17/06/2013</w:t>
      </w:r>
    </w:p>
    <w:p w:rsidR="00CB274D" w:rsidRDefault="00CB274D">
      <w:pPr>
        <w:rPr>
          <w:rFonts w:ascii="Times New Roman" w:hAnsi="Times New Roman" w:cs="Times New Roman"/>
          <w:b/>
          <w:sz w:val="28"/>
          <w:szCs w:val="28"/>
        </w:rPr>
      </w:pPr>
    </w:p>
    <w:p w:rsidR="000F788D" w:rsidRDefault="00260595" w:rsidP="00260595">
      <w:pPr>
        <w:spacing w:after="0"/>
        <w:jc w:val="both"/>
        <w:rPr>
          <w:rFonts w:ascii="Times New Roman" w:hAnsi="Times New Roman" w:cs="Times New Roman"/>
          <w:b/>
          <w:sz w:val="24"/>
          <w:szCs w:val="24"/>
        </w:rPr>
      </w:pPr>
      <w:r>
        <w:rPr>
          <w:rFonts w:ascii="Times New Roman" w:hAnsi="Times New Roman" w:cs="Times New Roman"/>
          <w:b/>
          <w:sz w:val="28"/>
          <w:szCs w:val="28"/>
        </w:rPr>
        <w:t>CIVILE</w:t>
      </w:r>
    </w:p>
    <w:p w:rsidR="000F788D" w:rsidRDefault="000F788D" w:rsidP="00260595">
      <w:pPr>
        <w:spacing w:after="0"/>
        <w:jc w:val="both"/>
        <w:rPr>
          <w:rFonts w:ascii="Times New Roman" w:hAnsi="Times New Roman" w:cs="Times New Roman"/>
          <w:b/>
          <w:sz w:val="24"/>
          <w:szCs w:val="24"/>
        </w:rPr>
      </w:pPr>
    </w:p>
    <w:p w:rsidR="00BA16BF" w:rsidRDefault="00BA16BF" w:rsidP="00260595">
      <w:pPr>
        <w:spacing w:after="0"/>
        <w:jc w:val="both"/>
        <w:rPr>
          <w:rFonts w:ascii="Times New Roman" w:hAnsi="Times New Roman" w:cs="Times New Roman"/>
          <w:b/>
          <w:sz w:val="24"/>
          <w:szCs w:val="24"/>
        </w:rPr>
      </w:pPr>
      <w:r>
        <w:rPr>
          <w:rFonts w:ascii="Times New Roman" w:hAnsi="Times New Roman" w:cs="Times New Roman"/>
          <w:b/>
          <w:sz w:val="24"/>
          <w:szCs w:val="24"/>
        </w:rPr>
        <w:t>Prescrizione e danno lungo latente</w:t>
      </w:r>
    </w:p>
    <w:p w:rsidR="00BA16BF" w:rsidRDefault="00BA16BF" w:rsidP="00260595">
      <w:pPr>
        <w:spacing w:after="0"/>
        <w:jc w:val="both"/>
        <w:rPr>
          <w:rFonts w:ascii="Times New Roman" w:hAnsi="Times New Roman" w:cs="Times New Roman"/>
          <w:b/>
          <w:sz w:val="24"/>
          <w:szCs w:val="24"/>
        </w:rPr>
      </w:pPr>
    </w:p>
    <w:p w:rsidR="00BA16BF" w:rsidRDefault="00BA16BF" w:rsidP="00260595">
      <w:pPr>
        <w:spacing w:after="0"/>
        <w:jc w:val="both"/>
        <w:rPr>
          <w:rFonts w:ascii="Times New Roman" w:hAnsi="Times New Roman" w:cs="Times New Roman"/>
          <w:b/>
          <w:sz w:val="24"/>
          <w:szCs w:val="24"/>
        </w:rPr>
      </w:pPr>
      <w:r>
        <w:rPr>
          <w:rFonts w:ascii="Times New Roman" w:hAnsi="Times New Roman" w:cs="Times New Roman"/>
          <w:b/>
          <w:sz w:val="24"/>
          <w:szCs w:val="24"/>
        </w:rPr>
        <w:t>Cass. civ., Sez. III, 4 giugno 2013, n. 14027</w:t>
      </w:r>
    </w:p>
    <w:p w:rsidR="00BA16BF" w:rsidRDefault="00BA16BF" w:rsidP="00260595">
      <w:pPr>
        <w:spacing w:after="0"/>
        <w:jc w:val="both"/>
        <w:rPr>
          <w:rFonts w:ascii="Times New Roman" w:hAnsi="Times New Roman" w:cs="Times New Roman"/>
          <w:b/>
          <w:sz w:val="24"/>
          <w:szCs w:val="24"/>
        </w:rPr>
      </w:pPr>
    </w:p>
    <w:p w:rsidR="00BA16BF" w:rsidRDefault="00BA16BF" w:rsidP="00260595">
      <w:pPr>
        <w:spacing w:after="0"/>
        <w:jc w:val="both"/>
        <w:rPr>
          <w:rFonts w:ascii="Times New Roman" w:hAnsi="Times New Roman" w:cs="Times New Roman"/>
          <w:b/>
          <w:sz w:val="24"/>
          <w:szCs w:val="24"/>
        </w:rPr>
      </w:pPr>
      <w:r>
        <w:rPr>
          <w:rFonts w:ascii="Times New Roman" w:hAnsi="Times New Roman" w:cs="Times New Roman"/>
          <w:b/>
          <w:sz w:val="24"/>
          <w:szCs w:val="24"/>
        </w:rPr>
        <w:t>Massima:</w:t>
      </w:r>
    </w:p>
    <w:p w:rsidR="00BA16BF" w:rsidRDefault="00BA16BF" w:rsidP="00260595">
      <w:pPr>
        <w:spacing w:after="0"/>
        <w:jc w:val="both"/>
        <w:rPr>
          <w:rFonts w:ascii="Times New Roman" w:hAnsi="Times New Roman" w:cs="Times New Roman"/>
          <w:b/>
          <w:sz w:val="24"/>
          <w:szCs w:val="24"/>
        </w:rPr>
      </w:pPr>
    </w:p>
    <w:p w:rsidR="00BA16BF" w:rsidRDefault="00BA16BF" w:rsidP="00BA16BF">
      <w:pPr>
        <w:spacing w:after="0"/>
        <w:jc w:val="both"/>
        <w:rPr>
          <w:rFonts w:ascii="Times New Roman" w:eastAsia="Times New Roman" w:hAnsi="Times New Roman" w:cs="Times New Roman"/>
          <w:b/>
          <w:color w:val="000000"/>
          <w:sz w:val="24"/>
          <w:szCs w:val="24"/>
          <w:lang w:eastAsia="it-IT"/>
        </w:rPr>
      </w:pPr>
      <w:r w:rsidRPr="00BA16BF">
        <w:rPr>
          <w:rFonts w:ascii="Times New Roman" w:eastAsia="Times New Roman" w:hAnsi="Times New Roman" w:cs="Times New Roman"/>
          <w:b/>
          <w:color w:val="000000"/>
          <w:sz w:val="24"/>
          <w:szCs w:val="24"/>
          <w:lang w:eastAsia="it-IT"/>
        </w:rPr>
        <w:t xml:space="preserve">In materia di danno derivante da un'intesa illecita, ai fini della decorrenza del termine quinquennale di prescrizione, si può ritenere che l'assicurato ha avuto la completa conoscenza del danno e della sua ingiustizia (con il corredo di tutte le circostanze e le modalità del fatto) nel momento in cui è stato adeguatamente e ragionevolmente informato circa il fatto che l’aumento delle tariffe è conseguenza di un'intesa vietata e quindi nulla tra imprese assicurative. Ne deriva, pertanto, che la </w:t>
      </w:r>
      <w:proofErr w:type="spellStart"/>
      <w:r w:rsidRPr="00BA16BF">
        <w:rPr>
          <w:rFonts w:ascii="Times New Roman" w:eastAsia="Times New Roman" w:hAnsi="Times New Roman" w:cs="Times New Roman"/>
          <w:b/>
          <w:color w:val="000000"/>
          <w:sz w:val="24"/>
          <w:szCs w:val="24"/>
          <w:lang w:eastAsia="it-IT"/>
        </w:rPr>
        <w:t>lungolatenza</w:t>
      </w:r>
      <w:proofErr w:type="spellEnd"/>
      <w:r w:rsidRPr="00BA16BF">
        <w:rPr>
          <w:rFonts w:ascii="Times New Roman" w:eastAsia="Times New Roman" w:hAnsi="Times New Roman" w:cs="Times New Roman"/>
          <w:b/>
          <w:color w:val="000000"/>
          <w:sz w:val="24"/>
          <w:szCs w:val="24"/>
          <w:lang w:eastAsia="it-IT"/>
        </w:rPr>
        <w:t xml:space="preserve"> del danno - ovvero lo scollamento temporale fra il momento dell'inflizione ad opera del danneggiante e il momento della sua percezione da parte del danneggiato - fa si che il titolare del diritto possa dirsi in stato di inerzia solo al momento in</w:t>
      </w:r>
      <w:r>
        <w:rPr>
          <w:rFonts w:ascii="Times New Roman" w:eastAsia="Times New Roman" w:hAnsi="Times New Roman" w:cs="Times New Roman"/>
          <w:b/>
          <w:color w:val="000000"/>
          <w:sz w:val="24"/>
          <w:szCs w:val="24"/>
          <w:lang w:eastAsia="it-IT"/>
        </w:rPr>
        <w:t xml:space="preserve"> cui sia adeguatamente edotto de</w:t>
      </w:r>
      <w:r w:rsidRPr="00BA16BF">
        <w:rPr>
          <w:rFonts w:ascii="Times New Roman" w:eastAsia="Times New Roman" w:hAnsi="Times New Roman" w:cs="Times New Roman"/>
          <w:b/>
          <w:color w:val="000000"/>
          <w:sz w:val="24"/>
          <w:szCs w:val="24"/>
          <w:lang w:eastAsia="it-IT"/>
        </w:rPr>
        <w:t>lle circostanze di questo particolare fenomeno di illecito prospettato dalla legge n. 287/1990.</w:t>
      </w:r>
    </w:p>
    <w:p w:rsidR="008E1518" w:rsidRDefault="008E1518" w:rsidP="00BA16BF">
      <w:pPr>
        <w:spacing w:after="0"/>
        <w:jc w:val="both"/>
        <w:rPr>
          <w:rFonts w:ascii="Times New Roman" w:eastAsia="Times New Roman" w:hAnsi="Times New Roman" w:cs="Times New Roman"/>
          <w:b/>
          <w:color w:val="000000"/>
          <w:sz w:val="24"/>
          <w:szCs w:val="24"/>
          <w:lang w:eastAsia="it-IT"/>
        </w:rPr>
      </w:pPr>
    </w:p>
    <w:p w:rsidR="008E1518" w:rsidRDefault="008E1518" w:rsidP="00BA16BF">
      <w:pPr>
        <w:spacing w:after="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Ricognizione:</w:t>
      </w:r>
    </w:p>
    <w:p w:rsidR="008E1518" w:rsidRDefault="008E1518" w:rsidP="00BA16BF">
      <w:pPr>
        <w:spacing w:after="0"/>
        <w:jc w:val="both"/>
        <w:rPr>
          <w:rFonts w:ascii="Times New Roman" w:eastAsia="Times New Roman" w:hAnsi="Times New Roman" w:cs="Times New Roman"/>
          <w:color w:val="000000"/>
          <w:sz w:val="24"/>
          <w:szCs w:val="24"/>
          <w:lang w:eastAsia="it-IT"/>
        </w:rPr>
      </w:pPr>
    </w:p>
    <w:p w:rsidR="008E1518" w:rsidRDefault="00846ED2" w:rsidP="00BA16BF">
      <w:pPr>
        <w:spacing w:after="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Con la pronuncia in esame, la Cassazione effettua delle importanti precisazioni in tema di danno lungo latente, ribadendo un orientamento che può dirsi maggioritario.</w:t>
      </w:r>
    </w:p>
    <w:p w:rsidR="00846ED2" w:rsidRDefault="00D6328C" w:rsidP="00BA16BF">
      <w:pPr>
        <w:spacing w:after="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 giudici di Piazza Cavour, dopo aver premesso che il diritto al risarcimento del danno derivante da illecito anticoncorrenziale, ai sensi del combinato disposto degli artt. 2935 e 2947 c. c., si prescrive in cinque anni, precisano che tale termine non decorre necessariamente dalla data di verificazione del fatto illecito, bensì dal momento in cui esso si palesa all’ esterno con tutti i connotati che ne determinano l’ illiceità ed è percepito come tale dal danneggiato</w:t>
      </w:r>
      <w:r w:rsidR="0083338B">
        <w:rPr>
          <w:rFonts w:ascii="Times New Roman" w:eastAsia="Times New Roman" w:hAnsi="Times New Roman" w:cs="Times New Roman"/>
          <w:color w:val="000000"/>
          <w:sz w:val="24"/>
          <w:szCs w:val="24"/>
          <w:lang w:eastAsia="it-IT"/>
        </w:rPr>
        <w:t xml:space="preserve"> o avrebbe dovuto essere percepito secondo l’ ordinaria diligenza</w:t>
      </w:r>
      <w:r>
        <w:rPr>
          <w:rFonts w:ascii="Times New Roman" w:eastAsia="Times New Roman" w:hAnsi="Times New Roman" w:cs="Times New Roman"/>
          <w:color w:val="000000"/>
          <w:sz w:val="24"/>
          <w:szCs w:val="24"/>
          <w:lang w:eastAsia="it-IT"/>
        </w:rPr>
        <w:t>.</w:t>
      </w:r>
      <w:r w:rsidR="0083338B">
        <w:rPr>
          <w:rFonts w:ascii="Times New Roman" w:eastAsia="Times New Roman" w:hAnsi="Times New Roman" w:cs="Times New Roman"/>
          <w:color w:val="000000"/>
          <w:sz w:val="24"/>
          <w:szCs w:val="24"/>
          <w:lang w:eastAsia="it-IT"/>
        </w:rPr>
        <w:t xml:space="preserve"> D’ altra parte</w:t>
      </w:r>
      <w:r w:rsidR="00A12EAF">
        <w:rPr>
          <w:rFonts w:ascii="Times New Roman" w:eastAsia="Times New Roman" w:hAnsi="Times New Roman" w:cs="Times New Roman"/>
          <w:color w:val="000000"/>
          <w:sz w:val="24"/>
          <w:szCs w:val="24"/>
          <w:lang w:eastAsia="it-IT"/>
        </w:rPr>
        <w:t>,</w:t>
      </w:r>
      <w:r w:rsidR="0083338B">
        <w:rPr>
          <w:rFonts w:ascii="Times New Roman" w:eastAsia="Times New Roman" w:hAnsi="Times New Roman" w:cs="Times New Roman"/>
          <w:color w:val="000000"/>
          <w:sz w:val="24"/>
          <w:szCs w:val="24"/>
          <w:lang w:eastAsia="it-IT"/>
        </w:rPr>
        <w:t xml:space="preserve"> costituirebbe violazione dell’ art. 2935 c. c. il considerare giuridicamente possibile l’ esercizio di un diritto che il relativo proprietario non sapeva e non poteva sapere di avere</w:t>
      </w:r>
      <w:r w:rsidR="006961C8">
        <w:rPr>
          <w:rFonts w:ascii="Times New Roman" w:eastAsia="Times New Roman" w:hAnsi="Times New Roman" w:cs="Times New Roman"/>
          <w:color w:val="000000"/>
          <w:sz w:val="24"/>
          <w:szCs w:val="24"/>
          <w:lang w:eastAsia="it-IT"/>
        </w:rPr>
        <w:t>.</w:t>
      </w:r>
    </w:p>
    <w:p w:rsidR="006961C8" w:rsidRDefault="006961C8" w:rsidP="00BA16BF">
      <w:pPr>
        <w:spacing w:after="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Ne consegue che, nel caso di specie, la sentenza di merito che nega il risarcimento del danno all’ assicurato per prescrizione del relativo diritto deve essere cassata con rinvio, atteso che lo stesso ha avuto effettiva conoscenza dell’ illecito soltanto dal momento in cui l’ Autorità antitrust ha pubblicato il provvedimento con il quale, a seguito di un lungo e complesso procedimento, ha accertato l’ illecito anticoncorrenziale, altrimenti celato agli occhi del pubblico.</w:t>
      </w:r>
    </w:p>
    <w:p w:rsidR="006961C8" w:rsidRDefault="006961C8" w:rsidP="00BA16BF">
      <w:pPr>
        <w:spacing w:after="0"/>
        <w:jc w:val="both"/>
        <w:rPr>
          <w:rFonts w:ascii="Times New Roman" w:eastAsia="Times New Roman" w:hAnsi="Times New Roman" w:cs="Times New Roman"/>
          <w:color w:val="000000"/>
          <w:sz w:val="24"/>
          <w:szCs w:val="24"/>
          <w:lang w:eastAsia="it-IT"/>
        </w:rPr>
      </w:pPr>
    </w:p>
    <w:p w:rsidR="006961C8" w:rsidRDefault="006961C8" w:rsidP="00BA16BF">
      <w:pPr>
        <w:spacing w:after="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color w:val="000000"/>
          <w:sz w:val="24"/>
          <w:szCs w:val="24"/>
          <w:lang w:eastAsia="it-IT"/>
        </w:rPr>
        <w:lastRenderedPageBreak/>
        <w:t xml:space="preserve">Giurisprudenza conforme: </w:t>
      </w:r>
      <w:r>
        <w:rPr>
          <w:rFonts w:ascii="Times New Roman" w:eastAsia="Times New Roman" w:hAnsi="Times New Roman" w:cs="Times New Roman"/>
          <w:color w:val="000000"/>
          <w:sz w:val="24"/>
          <w:szCs w:val="24"/>
          <w:lang w:eastAsia="it-IT"/>
        </w:rPr>
        <w:t>Cass. civ., 21 febbraio 2003, n. 2645; Cass. civ., 2 febbraio 2007, n. 2305.</w:t>
      </w:r>
    </w:p>
    <w:p w:rsidR="006961C8" w:rsidRDefault="006961C8" w:rsidP="00BA16BF">
      <w:pPr>
        <w:spacing w:after="0"/>
        <w:jc w:val="both"/>
        <w:rPr>
          <w:rFonts w:ascii="Times New Roman" w:eastAsia="Times New Roman" w:hAnsi="Times New Roman" w:cs="Times New Roman"/>
          <w:color w:val="000000"/>
          <w:sz w:val="24"/>
          <w:szCs w:val="24"/>
          <w:lang w:eastAsia="it-IT"/>
        </w:rPr>
      </w:pPr>
    </w:p>
    <w:p w:rsidR="006961C8" w:rsidRPr="00BA16BF" w:rsidRDefault="006961C8" w:rsidP="00BA16BF">
      <w:pPr>
        <w:spacing w:after="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b/>
          <w:color w:val="000000"/>
          <w:sz w:val="24"/>
          <w:szCs w:val="24"/>
          <w:lang w:eastAsia="it-IT"/>
        </w:rPr>
        <w:t xml:space="preserve">Riferimenti normativi: </w:t>
      </w:r>
      <w:r w:rsidR="00703C16">
        <w:rPr>
          <w:rFonts w:ascii="Times New Roman" w:eastAsia="Times New Roman" w:hAnsi="Times New Roman" w:cs="Times New Roman"/>
          <w:color w:val="000000"/>
          <w:sz w:val="24"/>
          <w:szCs w:val="24"/>
          <w:lang w:eastAsia="it-IT"/>
        </w:rPr>
        <w:t xml:space="preserve">artt. 1223, 1226, 2697, 2935 e 2947; art. 2, L. 287/1990. </w:t>
      </w:r>
    </w:p>
    <w:p w:rsidR="00BA16BF" w:rsidRDefault="00BA16BF" w:rsidP="00260595">
      <w:pPr>
        <w:spacing w:after="0"/>
        <w:jc w:val="both"/>
        <w:rPr>
          <w:rFonts w:ascii="Times New Roman" w:hAnsi="Times New Roman" w:cs="Times New Roman"/>
          <w:b/>
          <w:sz w:val="24"/>
          <w:szCs w:val="24"/>
        </w:rPr>
      </w:pPr>
    </w:p>
    <w:p w:rsidR="00BA16BF" w:rsidRDefault="00BA16BF" w:rsidP="00F15CB1">
      <w:pPr>
        <w:spacing w:after="0"/>
        <w:jc w:val="both"/>
        <w:rPr>
          <w:rFonts w:ascii="Times New Roman" w:hAnsi="Times New Roman" w:cs="Times New Roman"/>
          <w:b/>
          <w:sz w:val="28"/>
          <w:szCs w:val="28"/>
        </w:rPr>
      </w:pPr>
    </w:p>
    <w:p w:rsidR="00C643FB" w:rsidRDefault="00D50D42" w:rsidP="00F15CB1">
      <w:pPr>
        <w:spacing w:after="0"/>
        <w:jc w:val="both"/>
        <w:rPr>
          <w:rFonts w:ascii="Times New Roman" w:hAnsi="Times New Roman" w:cs="Times New Roman"/>
          <w:b/>
          <w:sz w:val="24"/>
          <w:szCs w:val="24"/>
        </w:rPr>
      </w:pPr>
      <w:r>
        <w:rPr>
          <w:rFonts w:ascii="Times New Roman" w:hAnsi="Times New Roman" w:cs="Times New Roman"/>
          <w:b/>
          <w:sz w:val="28"/>
          <w:szCs w:val="28"/>
        </w:rPr>
        <w:t>PENALE</w:t>
      </w:r>
    </w:p>
    <w:p w:rsidR="00D50D42" w:rsidRDefault="00D50D42" w:rsidP="00F15CB1">
      <w:pPr>
        <w:spacing w:after="0"/>
        <w:jc w:val="both"/>
        <w:rPr>
          <w:rFonts w:ascii="Times New Roman" w:hAnsi="Times New Roman" w:cs="Times New Roman"/>
          <w:b/>
          <w:sz w:val="24"/>
          <w:szCs w:val="24"/>
        </w:rPr>
      </w:pPr>
    </w:p>
    <w:p w:rsidR="00ED260B" w:rsidRDefault="00ED260B" w:rsidP="00F15CB1">
      <w:pPr>
        <w:spacing w:after="0"/>
        <w:jc w:val="both"/>
        <w:rPr>
          <w:rFonts w:ascii="Times New Roman" w:hAnsi="Times New Roman" w:cs="Times New Roman"/>
          <w:b/>
          <w:sz w:val="24"/>
          <w:szCs w:val="24"/>
        </w:rPr>
      </w:pPr>
      <w:r>
        <w:rPr>
          <w:rFonts w:ascii="Times New Roman" w:hAnsi="Times New Roman" w:cs="Times New Roman"/>
          <w:b/>
          <w:sz w:val="24"/>
          <w:szCs w:val="24"/>
        </w:rPr>
        <w:t>Violazione più grave nel reato continuato</w:t>
      </w:r>
    </w:p>
    <w:p w:rsidR="00775092" w:rsidRDefault="00775092" w:rsidP="00F15CB1">
      <w:pPr>
        <w:spacing w:after="0"/>
        <w:jc w:val="both"/>
        <w:rPr>
          <w:rFonts w:ascii="Times New Roman" w:hAnsi="Times New Roman" w:cs="Times New Roman"/>
          <w:b/>
          <w:sz w:val="24"/>
          <w:szCs w:val="24"/>
        </w:rPr>
      </w:pPr>
    </w:p>
    <w:p w:rsidR="00ED260B" w:rsidRDefault="00ED260B" w:rsidP="00F15CB1">
      <w:pPr>
        <w:spacing w:after="0"/>
        <w:jc w:val="both"/>
        <w:rPr>
          <w:rFonts w:ascii="Times New Roman" w:hAnsi="Times New Roman" w:cs="Times New Roman"/>
          <w:b/>
          <w:sz w:val="24"/>
          <w:szCs w:val="24"/>
        </w:rPr>
      </w:pPr>
      <w:r>
        <w:rPr>
          <w:rFonts w:ascii="Times New Roman" w:hAnsi="Times New Roman" w:cs="Times New Roman"/>
          <w:b/>
          <w:sz w:val="24"/>
          <w:szCs w:val="24"/>
        </w:rPr>
        <w:t>Cass., Sez. Un., n. 25939/2013</w:t>
      </w:r>
    </w:p>
    <w:p w:rsidR="00ED260B" w:rsidRDefault="00ED260B" w:rsidP="00F15CB1">
      <w:pPr>
        <w:spacing w:after="0"/>
        <w:jc w:val="both"/>
        <w:rPr>
          <w:rFonts w:ascii="Times New Roman" w:hAnsi="Times New Roman" w:cs="Times New Roman"/>
          <w:b/>
          <w:sz w:val="24"/>
          <w:szCs w:val="24"/>
        </w:rPr>
      </w:pPr>
    </w:p>
    <w:p w:rsidR="00ED260B" w:rsidRDefault="00ED260B" w:rsidP="00F15CB1">
      <w:pPr>
        <w:spacing w:after="0"/>
        <w:jc w:val="both"/>
        <w:rPr>
          <w:rFonts w:ascii="Times New Roman" w:hAnsi="Times New Roman" w:cs="Times New Roman"/>
          <w:b/>
          <w:sz w:val="24"/>
          <w:szCs w:val="24"/>
        </w:rPr>
      </w:pPr>
      <w:r>
        <w:rPr>
          <w:rFonts w:ascii="Times New Roman" w:hAnsi="Times New Roman" w:cs="Times New Roman"/>
          <w:b/>
          <w:sz w:val="24"/>
          <w:szCs w:val="24"/>
        </w:rPr>
        <w:t>Massima:</w:t>
      </w:r>
    </w:p>
    <w:p w:rsidR="00775092" w:rsidRDefault="00775092" w:rsidP="00F15CB1">
      <w:pPr>
        <w:spacing w:after="0"/>
        <w:jc w:val="both"/>
        <w:rPr>
          <w:rFonts w:ascii="Times New Roman" w:hAnsi="Times New Roman" w:cs="Times New Roman"/>
          <w:b/>
          <w:sz w:val="24"/>
          <w:szCs w:val="24"/>
        </w:rPr>
      </w:pPr>
    </w:p>
    <w:p w:rsidR="00775092" w:rsidRDefault="00775092" w:rsidP="00F15CB1">
      <w:pPr>
        <w:spacing w:after="0"/>
        <w:jc w:val="both"/>
        <w:rPr>
          <w:rFonts w:ascii="Times New Roman" w:hAnsi="Times New Roman" w:cs="Times New Roman"/>
          <w:b/>
          <w:sz w:val="24"/>
          <w:szCs w:val="24"/>
        </w:rPr>
      </w:pPr>
      <w:r>
        <w:rPr>
          <w:rFonts w:ascii="Times New Roman" w:hAnsi="Times New Roman" w:cs="Times New Roman"/>
          <w:b/>
          <w:sz w:val="24"/>
          <w:szCs w:val="24"/>
        </w:rPr>
        <w:t>In tema di reato continuato, la violazione più grave va individuata in astratto, in base alla pena edittale prevista per il reato ritenuto dal giudice in rapporto alle singole circostanze in cui la fattispecie si è manifestata e all’ eventuale giudizio di comparazione fra esse.</w:t>
      </w:r>
    </w:p>
    <w:p w:rsidR="00775092" w:rsidRDefault="00775092" w:rsidP="00F15CB1">
      <w:pPr>
        <w:spacing w:after="0"/>
        <w:jc w:val="both"/>
        <w:rPr>
          <w:rFonts w:ascii="Times New Roman" w:hAnsi="Times New Roman" w:cs="Times New Roman"/>
          <w:b/>
          <w:sz w:val="24"/>
          <w:szCs w:val="24"/>
        </w:rPr>
      </w:pPr>
    </w:p>
    <w:p w:rsidR="00775092" w:rsidRDefault="00775092" w:rsidP="00F15CB1">
      <w:pPr>
        <w:spacing w:after="0"/>
        <w:jc w:val="both"/>
        <w:rPr>
          <w:rFonts w:ascii="Times New Roman" w:hAnsi="Times New Roman" w:cs="Times New Roman"/>
          <w:b/>
          <w:sz w:val="24"/>
          <w:szCs w:val="24"/>
        </w:rPr>
      </w:pPr>
      <w:r>
        <w:rPr>
          <w:rFonts w:ascii="Times New Roman" w:hAnsi="Times New Roman" w:cs="Times New Roman"/>
          <w:b/>
          <w:sz w:val="24"/>
          <w:szCs w:val="24"/>
        </w:rPr>
        <w:t>In caso di concorso di reati puniti con sanzioni omogenee sia nel genere che nella specie</w:t>
      </w:r>
      <w:r w:rsidR="008D6C1E">
        <w:rPr>
          <w:rFonts w:ascii="Times New Roman" w:hAnsi="Times New Roman" w:cs="Times New Roman"/>
          <w:b/>
          <w:sz w:val="24"/>
          <w:szCs w:val="24"/>
        </w:rPr>
        <w:t>,</w:t>
      </w:r>
      <w:r>
        <w:rPr>
          <w:rFonts w:ascii="Times New Roman" w:hAnsi="Times New Roman" w:cs="Times New Roman"/>
          <w:b/>
          <w:sz w:val="24"/>
          <w:szCs w:val="24"/>
        </w:rPr>
        <w:t xml:space="preserve"> per i quali sia riconosciuto il vincolo della continuazione, l’ individuazione del concreto trattamento sanzionatorio per il reato ritenuto dal giudice più grave non può comportare l’ irrogazione di una pena inferiore nel minimo a quella prevista per uno dei reati – satelliti.</w:t>
      </w:r>
    </w:p>
    <w:p w:rsidR="00E70427" w:rsidRDefault="00E70427" w:rsidP="00F15CB1">
      <w:pPr>
        <w:spacing w:after="0"/>
        <w:jc w:val="both"/>
        <w:rPr>
          <w:rFonts w:ascii="Times New Roman" w:hAnsi="Times New Roman" w:cs="Times New Roman"/>
          <w:b/>
          <w:sz w:val="24"/>
          <w:szCs w:val="24"/>
        </w:rPr>
      </w:pPr>
    </w:p>
    <w:p w:rsidR="00ED260B" w:rsidRDefault="00831CC8" w:rsidP="00F15CB1">
      <w:pPr>
        <w:spacing w:after="0"/>
        <w:jc w:val="both"/>
        <w:rPr>
          <w:rFonts w:ascii="Times New Roman" w:hAnsi="Times New Roman" w:cs="Times New Roman"/>
          <w:sz w:val="24"/>
          <w:szCs w:val="24"/>
        </w:rPr>
      </w:pPr>
      <w:r>
        <w:rPr>
          <w:rFonts w:ascii="Times New Roman" w:hAnsi="Times New Roman" w:cs="Times New Roman"/>
          <w:sz w:val="24"/>
          <w:szCs w:val="24"/>
        </w:rPr>
        <w:t>Ricognizione:</w:t>
      </w:r>
    </w:p>
    <w:p w:rsidR="00831CC8" w:rsidRDefault="00831CC8" w:rsidP="00F15CB1">
      <w:pPr>
        <w:spacing w:after="0"/>
        <w:jc w:val="both"/>
        <w:rPr>
          <w:rFonts w:ascii="Times New Roman" w:hAnsi="Times New Roman" w:cs="Times New Roman"/>
          <w:sz w:val="24"/>
          <w:szCs w:val="24"/>
        </w:rPr>
      </w:pPr>
    </w:p>
    <w:p w:rsidR="00831CC8" w:rsidRPr="00831CC8" w:rsidRDefault="00831CC8" w:rsidP="00F15CB1">
      <w:pPr>
        <w:spacing w:after="0"/>
        <w:jc w:val="both"/>
        <w:rPr>
          <w:rFonts w:ascii="Times New Roman" w:hAnsi="Times New Roman" w:cs="Times New Roman"/>
          <w:sz w:val="24"/>
          <w:szCs w:val="24"/>
        </w:rPr>
      </w:pPr>
      <w:r w:rsidRPr="00831CC8">
        <w:rPr>
          <w:rFonts w:ascii="Times New Roman" w:hAnsi="Times New Roman" w:cs="Times New Roman"/>
          <w:sz w:val="24"/>
          <w:szCs w:val="24"/>
        </w:rPr>
        <w:t xml:space="preserve">L’ art. 81, comma 2, c. p. detta la disciplina del </w:t>
      </w:r>
      <w:r>
        <w:rPr>
          <w:rFonts w:ascii="Times New Roman" w:hAnsi="Times New Roman" w:cs="Times New Roman"/>
          <w:sz w:val="24"/>
          <w:szCs w:val="24"/>
        </w:rPr>
        <w:t>“</w:t>
      </w:r>
      <w:r w:rsidRPr="00831CC8">
        <w:rPr>
          <w:rFonts w:ascii="Times New Roman" w:hAnsi="Times New Roman" w:cs="Times New Roman"/>
          <w:sz w:val="24"/>
          <w:szCs w:val="24"/>
        </w:rPr>
        <w:t>reato continuato</w:t>
      </w:r>
      <w:r>
        <w:rPr>
          <w:rFonts w:ascii="Times New Roman" w:hAnsi="Times New Roman" w:cs="Times New Roman"/>
          <w:sz w:val="24"/>
          <w:szCs w:val="24"/>
        </w:rPr>
        <w:t>”, prevedendo, nei confronti di “chi con più azioni od omissioni, esecutive di un medesimo disegno criminoso, commette anche in tempi diversi più violazione della stessa o di diverse disposizioni di legge, l’ applicazione della pena prevista per la “violazione più grave”</w:t>
      </w:r>
      <w:r w:rsidR="00754846">
        <w:rPr>
          <w:rFonts w:ascii="Times New Roman" w:hAnsi="Times New Roman" w:cs="Times New Roman"/>
          <w:sz w:val="24"/>
          <w:szCs w:val="24"/>
        </w:rPr>
        <w:t>, aumentata fino al triplo.</w:t>
      </w:r>
      <w:r w:rsidRPr="00831CC8">
        <w:rPr>
          <w:rFonts w:ascii="Times New Roman" w:hAnsi="Times New Roman" w:cs="Times New Roman"/>
          <w:sz w:val="24"/>
          <w:szCs w:val="24"/>
        </w:rPr>
        <w:t xml:space="preserve"> </w:t>
      </w:r>
    </w:p>
    <w:p w:rsidR="00831CC8" w:rsidRDefault="00831CC8" w:rsidP="00F15CB1">
      <w:pPr>
        <w:spacing w:after="0"/>
        <w:jc w:val="both"/>
        <w:rPr>
          <w:rFonts w:ascii="Times New Roman" w:hAnsi="Times New Roman" w:cs="Times New Roman"/>
          <w:sz w:val="24"/>
          <w:szCs w:val="24"/>
        </w:rPr>
      </w:pPr>
      <w:r>
        <w:rPr>
          <w:rFonts w:ascii="Times New Roman" w:hAnsi="Times New Roman" w:cs="Times New Roman"/>
          <w:sz w:val="24"/>
          <w:szCs w:val="24"/>
        </w:rPr>
        <w:t>Il supremo Consesso di giustizia penale risolve definitivamente la disputa interpretativa inerente l’ individuazione del concetto di “violazione più grave”, fortemente dibattuta nel corso degli anni.</w:t>
      </w:r>
    </w:p>
    <w:p w:rsidR="009E07C6" w:rsidRDefault="00831CC8" w:rsidP="00F15CB1">
      <w:pPr>
        <w:spacing w:after="0"/>
        <w:jc w:val="both"/>
        <w:rPr>
          <w:rFonts w:ascii="Times New Roman" w:hAnsi="Times New Roman" w:cs="Times New Roman"/>
          <w:sz w:val="24"/>
          <w:szCs w:val="24"/>
        </w:rPr>
      </w:pPr>
      <w:r>
        <w:rPr>
          <w:rFonts w:ascii="Times New Roman" w:hAnsi="Times New Roman" w:cs="Times New Roman"/>
          <w:sz w:val="24"/>
          <w:szCs w:val="24"/>
        </w:rPr>
        <w:t>Invero secondo l’ impostazione maggioritaria presso la giurisprudenza di legittimità, l’ individuazione della violazione più grave andava effettuata in astratto, alla luce dei criteri edittali dettati dal legislatore; in tale ottica interpretativa, i delitti erano sempre considerati più gravi rispetto alle contravvenzioni e tra reati appartenenti alla stessa specie si riteneva più grave quello connotato dal massimo edittale più elevato; a parità di massimi edittali, quello connotato dal minimo edittale più elevato.</w:t>
      </w:r>
    </w:p>
    <w:p w:rsidR="00237E7B" w:rsidRDefault="009E07C6" w:rsidP="00F15CB1">
      <w:pPr>
        <w:spacing w:after="0"/>
        <w:jc w:val="both"/>
        <w:rPr>
          <w:rFonts w:ascii="Times New Roman" w:hAnsi="Times New Roman" w:cs="Times New Roman"/>
          <w:sz w:val="24"/>
          <w:szCs w:val="24"/>
        </w:rPr>
      </w:pPr>
      <w:r>
        <w:rPr>
          <w:rFonts w:ascii="Times New Roman" w:hAnsi="Times New Roman" w:cs="Times New Roman"/>
          <w:sz w:val="24"/>
          <w:szCs w:val="24"/>
        </w:rPr>
        <w:t>Al contrario, secondo altra giurisprudenza minoritaria,</w:t>
      </w:r>
      <w:r w:rsidR="00C014EF">
        <w:rPr>
          <w:rFonts w:ascii="Times New Roman" w:hAnsi="Times New Roman" w:cs="Times New Roman"/>
          <w:sz w:val="24"/>
          <w:szCs w:val="24"/>
        </w:rPr>
        <w:t xml:space="preserve"> che valorizza</w:t>
      </w:r>
      <w:r w:rsidR="00CB571C">
        <w:rPr>
          <w:rFonts w:ascii="Times New Roman" w:hAnsi="Times New Roman" w:cs="Times New Roman"/>
          <w:sz w:val="24"/>
          <w:szCs w:val="24"/>
        </w:rPr>
        <w:t>va</w:t>
      </w:r>
      <w:r w:rsidR="00C014EF">
        <w:rPr>
          <w:rFonts w:ascii="Times New Roman" w:hAnsi="Times New Roman" w:cs="Times New Roman"/>
          <w:sz w:val="24"/>
          <w:szCs w:val="24"/>
        </w:rPr>
        <w:t xml:space="preserve"> l’ art. 187 </w:t>
      </w:r>
      <w:proofErr w:type="spellStart"/>
      <w:r w:rsidR="00C014EF">
        <w:rPr>
          <w:rFonts w:ascii="Times New Roman" w:hAnsi="Times New Roman" w:cs="Times New Roman"/>
          <w:sz w:val="24"/>
          <w:szCs w:val="24"/>
        </w:rPr>
        <w:t>disp</w:t>
      </w:r>
      <w:proofErr w:type="spellEnd"/>
      <w:r w:rsidR="00C014EF">
        <w:rPr>
          <w:rFonts w:ascii="Times New Roman" w:hAnsi="Times New Roman" w:cs="Times New Roman"/>
          <w:sz w:val="24"/>
          <w:szCs w:val="24"/>
        </w:rPr>
        <w:t>. att. c.</w:t>
      </w:r>
      <w:r w:rsidR="009D125E">
        <w:rPr>
          <w:rFonts w:ascii="Times New Roman" w:hAnsi="Times New Roman" w:cs="Times New Roman"/>
          <w:sz w:val="24"/>
          <w:szCs w:val="24"/>
        </w:rPr>
        <w:t xml:space="preserve"> p. p</w:t>
      </w:r>
      <w:r w:rsidR="00C014EF">
        <w:rPr>
          <w:rFonts w:ascii="Times New Roman" w:hAnsi="Times New Roman" w:cs="Times New Roman"/>
          <w:sz w:val="24"/>
          <w:szCs w:val="24"/>
        </w:rPr>
        <w:t xml:space="preserve">., nonché una risalente pronuncia a Sezioni Unite, </w:t>
      </w:r>
      <w:r>
        <w:rPr>
          <w:rFonts w:ascii="Times New Roman" w:hAnsi="Times New Roman" w:cs="Times New Roman"/>
          <w:sz w:val="24"/>
          <w:szCs w:val="24"/>
        </w:rPr>
        <w:t xml:space="preserve"> l’ individuazione della violazione più grave</w:t>
      </w:r>
      <w:r w:rsidR="00CB571C">
        <w:rPr>
          <w:rFonts w:ascii="Times New Roman" w:hAnsi="Times New Roman" w:cs="Times New Roman"/>
          <w:sz w:val="24"/>
          <w:szCs w:val="24"/>
        </w:rPr>
        <w:t xml:space="preserve"> doveva</w:t>
      </w:r>
      <w:r>
        <w:rPr>
          <w:rFonts w:ascii="Times New Roman" w:hAnsi="Times New Roman" w:cs="Times New Roman"/>
          <w:sz w:val="24"/>
          <w:szCs w:val="24"/>
        </w:rPr>
        <w:t xml:space="preserve"> effettuarsi in concreto; in particolare, la</w:t>
      </w:r>
      <w:r w:rsidR="00CB571C">
        <w:rPr>
          <w:rFonts w:ascii="Times New Roman" w:hAnsi="Times New Roman" w:cs="Times New Roman"/>
          <w:sz w:val="24"/>
          <w:szCs w:val="24"/>
        </w:rPr>
        <w:t xml:space="preserve"> più grave delle violazioni doveva</w:t>
      </w:r>
      <w:r>
        <w:rPr>
          <w:rFonts w:ascii="Times New Roman" w:hAnsi="Times New Roman" w:cs="Times New Roman"/>
          <w:sz w:val="24"/>
          <w:szCs w:val="24"/>
        </w:rPr>
        <w:t xml:space="preserve"> individuarsi con riferimento alla pena che</w:t>
      </w:r>
      <w:r w:rsidR="00CB571C">
        <w:rPr>
          <w:rFonts w:ascii="Times New Roman" w:hAnsi="Times New Roman" w:cs="Times New Roman"/>
          <w:sz w:val="24"/>
          <w:szCs w:val="24"/>
        </w:rPr>
        <w:t xml:space="preserve"> avrebbe dovuto</w:t>
      </w:r>
      <w:r>
        <w:rPr>
          <w:rFonts w:ascii="Times New Roman" w:hAnsi="Times New Roman" w:cs="Times New Roman"/>
          <w:sz w:val="24"/>
          <w:szCs w:val="24"/>
        </w:rPr>
        <w:t xml:space="preserve"> essere concretamente inflitta per ciascuno dei reati in continuazione</w:t>
      </w:r>
      <w:r w:rsidR="00C014EF">
        <w:rPr>
          <w:rFonts w:ascii="Times New Roman" w:hAnsi="Times New Roman" w:cs="Times New Roman"/>
          <w:sz w:val="24"/>
          <w:szCs w:val="24"/>
        </w:rPr>
        <w:t>, in base ai criteri di cui all’ art. 133 c. p..</w:t>
      </w:r>
    </w:p>
    <w:p w:rsidR="00FB1314" w:rsidRDefault="00237E7B" w:rsidP="00F15CB1">
      <w:pPr>
        <w:spacing w:after="0"/>
        <w:jc w:val="both"/>
        <w:rPr>
          <w:rFonts w:ascii="Times New Roman" w:hAnsi="Times New Roman" w:cs="Times New Roman"/>
          <w:sz w:val="24"/>
          <w:szCs w:val="24"/>
        </w:rPr>
      </w:pPr>
      <w:r>
        <w:rPr>
          <w:rFonts w:ascii="Times New Roman" w:hAnsi="Times New Roman" w:cs="Times New Roman"/>
          <w:sz w:val="24"/>
          <w:szCs w:val="24"/>
        </w:rPr>
        <w:t xml:space="preserve">Le Sezioni Unite aderiscono al primo dei surriferiti orientamenti, sulla scorta delle seguenti argomentazioni: </w:t>
      </w:r>
      <w:r w:rsidR="004C443D">
        <w:rPr>
          <w:rFonts w:ascii="Times New Roman" w:hAnsi="Times New Roman" w:cs="Times New Roman"/>
          <w:sz w:val="24"/>
          <w:szCs w:val="24"/>
        </w:rPr>
        <w:t>a) il codice penale (in particol</w:t>
      </w:r>
      <w:r w:rsidR="008F3BBC">
        <w:rPr>
          <w:rFonts w:ascii="Times New Roman" w:hAnsi="Times New Roman" w:cs="Times New Roman"/>
          <w:sz w:val="24"/>
          <w:szCs w:val="24"/>
        </w:rPr>
        <w:t xml:space="preserve">are, gli artt. 17, 18, 39 e 78) contiene molteplici </w:t>
      </w:r>
      <w:r w:rsidR="008F3BBC">
        <w:rPr>
          <w:rFonts w:ascii="Times New Roman" w:hAnsi="Times New Roman" w:cs="Times New Roman"/>
          <w:sz w:val="24"/>
          <w:szCs w:val="24"/>
        </w:rPr>
        <w:lastRenderedPageBreak/>
        <w:t>elementi che depongono nel senso della maggiore gravità dei delitti rispetto alle contravvenzioni; b) qualora si attribuisse rilievo alla decisione presa i</w:t>
      </w:r>
      <w:r w:rsidR="00CB571C">
        <w:rPr>
          <w:rFonts w:ascii="Times New Roman" w:hAnsi="Times New Roman" w:cs="Times New Roman"/>
          <w:sz w:val="24"/>
          <w:szCs w:val="24"/>
        </w:rPr>
        <w:t>n concreto dal giudice si andrebbe ad invadere</w:t>
      </w:r>
      <w:r w:rsidR="008F3BBC">
        <w:rPr>
          <w:rFonts w:ascii="Times New Roman" w:hAnsi="Times New Roman" w:cs="Times New Roman"/>
          <w:sz w:val="24"/>
          <w:szCs w:val="24"/>
        </w:rPr>
        <w:t xml:space="preserve"> uno spazio di competenza esclusiva del legislatore, con conseguente possibile lesione degli artt. 3, 25 e 101, comma 2 Cost., in termini di legalità, certezza del diritto, tutela dell’ affidamento delle parti e parità di trattamento; c) </w:t>
      </w:r>
      <w:r w:rsidR="00301798">
        <w:rPr>
          <w:rFonts w:ascii="Times New Roman" w:hAnsi="Times New Roman" w:cs="Times New Roman"/>
          <w:sz w:val="24"/>
          <w:szCs w:val="24"/>
        </w:rPr>
        <w:t xml:space="preserve">l’ espressione “violazione” utilizzata dall’ art. 81 c. p. evoca la condotta illecita descritta da una norma </w:t>
      </w:r>
      <w:proofErr w:type="spellStart"/>
      <w:r w:rsidR="00301798">
        <w:rPr>
          <w:rFonts w:ascii="Times New Roman" w:hAnsi="Times New Roman" w:cs="Times New Roman"/>
          <w:sz w:val="24"/>
          <w:szCs w:val="24"/>
        </w:rPr>
        <w:t>incriminatrice</w:t>
      </w:r>
      <w:proofErr w:type="spellEnd"/>
      <w:r w:rsidR="00301798">
        <w:rPr>
          <w:rFonts w:ascii="Times New Roman" w:hAnsi="Times New Roman" w:cs="Times New Roman"/>
          <w:sz w:val="24"/>
          <w:szCs w:val="24"/>
        </w:rPr>
        <w:t xml:space="preserve"> e, quindi, un concetto differente rispetto a quello di “pena”; d) </w:t>
      </w:r>
      <w:r w:rsidR="000E6F27">
        <w:rPr>
          <w:rFonts w:ascii="Times New Roman" w:hAnsi="Times New Roman" w:cs="Times New Roman"/>
          <w:sz w:val="24"/>
          <w:szCs w:val="24"/>
        </w:rPr>
        <w:t xml:space="preserve">l’ art. 187 </w:t>
      </w:r>
      <w:proofErr w:type="spellStart"/>
      <w:r w:rsidR="000E6F27">
        <w:rPr>
          <w:rFonts w:ascii="Times New Roman" w:hAnsi="Times New Roman" w:cs="Times New Roman"/>
          <w:sz w:val="24"/>
          <w:szCs w:val="24"/>
        </w:rPr>
        <w:t>disp</w:t>
      </w:r>
      <w:proofErr w:type="spellEnd"/>
      <w:r w:rsidR="000E6F27">
        <w:rPr>
          <w:rFonts w:ascii="Times New Roman" w:hAnsi="Times New Roman" w:cs="Times New Roman"/>
          <w:sz w:val="24"/>
          <w:szCs w:val="24"/>
        </w:rPr>
        <w:t>. att. c. p</w:t>
      </w:r>
      <w:r w:rsidR="009D125E">
        <w:rPr>
          <w:rFonts w:ascii="Times New Roman" w:hAnsi="Times New Roman" w:cs="Times New Roman"/>
          <w:sz w:val="24"/>
          <w:szCs w:val="24"/>
        </w:rPr>
        <w:t>. p</w:t>
      </w:r>
      <w:r w:rsidR="000E6F27">
        <w:rPr>
          <w:rFonts w:ascii="Times New Roman" w:hAnsi="Times New Roman" w:cs="Times New Roman"/>
          <w:sz w:val="24"/>
          <w:szCs w:val="24"/>
        </w:rPr>
        <w:t>. deroga all’ art. 81 c. p., ma limitatamente alla fase dell’</w:t>
      </w:r>
      <w:r w:rsidR="00FB1314">
        <w:rPr>
          <w:rFonts w:ascii="Times New Roman" w:hAnsi="Times New Roman" w:cs="Times New Roman"/>
          <w:sz w:val="24"/>
          <w:szCs w:val="24"/>
        </w:rPr>
        <w:t xml:space="preserve"> esecuzione.</w:t>
      </w:r>
    </w:p>
    <w:p w:rsidR="00831CC8" w:rsidRPr="00831CC8" w:rsidRDefault="008D2797" w:rsidP="00F15CB1">
      <w:pPr>
        <w:spacing w:after="0"/>
        <w:jc w:val="both"/>
        <w:rPr>
          <w:rFonts w:ascii="Times New Roman" w:hAnsi="Times New Roman" w:cs="Times New Roman"/>
          <w:sz w:val="24"/>
          <w:szCs w:val="24"/>
        </w:rPr>
      </w:pPr>
      <w:r>
        <w:rPr>
          <w:rFonts w:ascii="Times New Roman" w:hAnsi="Times New Roman" w:cs="Times New Roman"/>
          <w:sz w:val="24"/>
          <w:szCs w:val="24"/>
        </w:rPr>
        <w:t>Inoltre</w:t>
      </w:r>
      <w:r w:rsidR="00FB1314">
        <w:rPr>
          <w:rFonts w:ascii="Times New Roman" w:hAnsi="Times New Roman" w:cs="Times New Roman"/>
          <w:sz w:val="24"/>
          <w:szCs w:val="24"/>
        </w:rPr>
        <w:t>, la Suprema Corte precisa che</w:t>
      </w:r>
      <w:r w:rsidR="005D1C30">
        <w:rPr>
          <w:rFonts w:ascii="Times New Roman" w:hAnsi="Times New Roman" w:cs="Times New Roman"/>
          <w:sz w:val="24"/>
          <w:szCs w:val="24"/>
        </w:rPr>
        <w:t xml:space="preserve"> il cumulo giuridico può avere luogo anche tra pene diverse (sia nel genere che nella specie). Difatti,</w:t>
      </w:r>
      <w:r w:rsidR="00FB1314">
        <w:rPr>
          <w:rFonts w:ascii="Times New Roman" w:hAnsi="Times New Roman" w:cs="Times New Roman"/>
          <w:sz w:val="24"/>
          <w:szCs w:val="24"/>
        </w:rPr>
        <w:t xml:space="preserve"> una volta individuata la violazione più grave nel senso sopra chiarito, i reati meno gravi perdono la loro autonomia sanzionatoria e la relativa pena confluisce in quella irrogat</w:t>
      </w:r>
      <w:r w:rsidR="005D1C30">
        <w:rPr>
          <w:rFonts w:ascii="Times New Roman" w:hAnsi="Times New Roman" w:cs="Times New Roman"/>
          <w:sz w:val="24"/>
          <w:szCs w:val="24"/>
        </w:rPr>
        <w:t>a per tutti i reati concorrenti; d’ altra parte, non si registra alcuna violazione del principio di legalità,</w:t>
      </w:r>
      <w:r w:rsidR="00FB1314">
        <w:rPr>
          <w:rFonts w:ascii="Times New Roman" w:hAnsi="Times New Roman" w:cs="Times New Roman"/>
          <w:sz w:val="24"/>
          <w:szCs w:val="24"/>
        </w:rPr>
        <w:t xml:space="preserve"> costituendo “pena legale”, non solo quella prevista dalle singole fattispecie </w:t>
      </w:r>
      <w:proofErr w:type="spellStart"/>
      <w:r w:rsidR="00FB1314">
        <w:rPr>
          <w:rFonts w:ascii="Times New Roman" w:hAnsi="Times New Roman" w:cs="Times New Roman"/>
          <w:sz w:val="24"/>
          <w:szCs w:val="24"/>
        </w:rPr>
        <w:t>incriminatrici</w:t>
      </w:r>
      <w:proofErr w:type="spellEnd"/>
      <w:r w:rsidR="00FB1314">
        <w:rPr>
          <w:rFonts w:ascii="Times New Roman" w:hAnsi="Times New Roman" w:cs="Times New Roman"/>
          <w:sz w:val="24"/>
          <w:szCs w:val="24"/>
        </w:rPr>
        <w:t>, ma anche quella risultante dalle varie disposizioni che incidono sul trattamento sanzionatorio (come l’ art. 81 c. p.)</w:t>
      </w:r>
      <w:r w:rsidR="005D1C30">
        <w:rPr>
          <w:rFonts w:ascii="Times New Roman" w:hAnsi="Times New Roman" w:cs="Times New Roman"/>
          <w:sz w:val="24"/>
          <w:szCs w:val="24"/>
        </w:rPr>
        <w:t xml:space="preserve">. </w:t>
      </w:r>
    </w:p>
    <w:p w:rsidR="00ED260B" w:rsidRDefault="008D2797" w:rsidP="00F15CB1">
      <w:pPr>
        <w:spacing w:after="0"/>
        <w:jc w:val="both"/>
        <w:rPr>
          <w:rFonts w:ascii="Times New Roman" w:hAnsi="Times New Roman" w:cs="Times New Roman"/>
          <w:sz w:val="24"/>
          <w:szCs w:val="24"/>
        </w:rPr>
      </w:pPr>
      <w:r>
        <w:rPr>
          <w:rFonts w:ascii="Times New Roman" w:hAnsi="Times New Roman" w:cs="Times New Roman"/>
          <w:sz w:val="24"/>
          <w:szCs w:val="24"/>
        </w:rPr>
        <w:t xml:space="preserve">Infine, i giudici di Piazza Cavour puntualizzano che la nozione di “violazione più grave” ha una valenza complessa, che muovendo dalla sanzione edittale comminata in astratto per una determinata fattispecie criminosa, implica la valutazione delle sue concrete modalità di manifestazione; ne deriva che, se si ravvisa </w:t>
      </w:r>
      <w:r w:rsidR="0018671D">
        <w:rPr>
          <w:rFonts w:ascii="Times New Roman" w:hAnsi="Times New Roman" w:cs="Times New Roman"/>
          <w:sz w:val="24"/>
          <w:szCs w:val="24"/>
        </w:rPr>
        <w:t xml:space="preserve">la sussistenza di circostanze </w:t>
      </w:r>
      <w:r>
        <w:rPr>
          <w:rFonts w:ascii="Times New Roman" w:hAnsi="Times New Roman" w:cs="Times New Roman"/>
          <w:sz w:val="24"/>
          <w:szCs w:val="24"/>
        </w:rPr>
        <w:t>l’ individuazione in astratto della pena edi</w:t>
      </w:r>
      <w:r w:rsidR="0018671D">
        <w:rPr>
          <w:rFonts w:ascii="Times New Roman" w:hAnsi="Times New Roman" w:cs="Times New Roman"/>
          <w:sz w:val="24"/>
          <w:szCs w:val="24"/>
        </w:rPr>
        <w:t>ttale non può prescindere dall’ operatività delle stesse</w:t>
      </w:r>
      <w:r w:rsidR="0014036B">
        <w:rPr>
          <w:rFonts w:ascii="Times New Roman" w:hAnsi="Times New Roman" w:cs="Times New Roman"/>
          <w:sz w:val="24"/>
          <w:szCs w:val="24"/>
        </w:rPr>
        <w:t>, dovendosi calcolare nel minimo edittale l’ effetto di diminuzione derivante dalle attenuanti, nel massimo edittale l’ effetto di aumento derivante dalle aggravanti</w:t>
      </w:r>
      <w:r w:rsidR="0018671D">
        <w:rPr>
          <w:rFonts w:ascii="Times New Roman" w:hAnsi="Times New Roman" w:cs="Times New Roman"/>
          <w:sz w:val="24"/>
          <w:szCs w:val="24"/>
        </w:rPr>
        <w:t xml:space="preserve"> (sempre a seguito del giudizio di bilanciamento)</w:t>
      </w:r>
      <w:r w:rsidR="0014036B">
        <w:rPr>
          <w:rFonts w:ascii="Times New Roman" w:hAnsi="Times New Roman" w:cs="Times New Roman"/>
          <w:sz w:val="24"/>
          <w:szCs w:val="24"/>
        </w:rPr>
        <w:t>.</w:t>
      </w:r>
    </w:p>
    <w:p w:rsidR="00896B8F" w:rsidRDefault="00896B8F" w:rsidP="00F15CB1">
      <w:pPr>
        <w:spacing w:after="0"/>
        <w:jc w:val="both"/>
        <w:rPr>
          <w:rFonts w:ascii="Times New Roman" w:hAnsi="Times New Roman" w:cs="Times New Roman"/>
          <w:sz w:val="24"/>
          <w:szCs w:val="24"/>
        </w:rPr>
      </w:pPr>
    </w:p>
    <w:p w:rsidR="00896B8F" w:rsidRDefault="00896B8F" w:rsidP="00F15CB1">
      <w:pPr>
        <w:spacing w:after="0"/>
        <w:jc w:val="both"/>
        <w:rPr>
          <w:rFonts w:ascii="Times New Roman" w:hAnsi="Times New Roman" w:cs="Times New Roman"/>
          <w:sz w:val="24"/>
          <w:szCs w:val="24"/>
        </w:rPr>
      </w:pPr>
      <w:r>
        <w:rPr>
          <w:rFonts w:ascii="Times New Roman" w:hAnsi="Times New Roman" w:cs="Times New Roman"/>
          <w:b/>
          <w:sz w:val="24"/>
          <w:szCs w:val="24"/>
        </w:rPr>
        <w:t xml:space="preserve">Giurisprudenza conforme: </w:t>
      </w:r>
      <w:r>
        <w:rPr>
          <w:rFonts w:ascii="Times New Roman" w:hAnsi="Times New Roman" w:cs="Times New Roman"/>
          <w:sz w:val="24"/>
          <w:szCs w:val="24"/>
        </w:rPr>
        <w:t xml:space="preserve">Cass.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26 gennaio 2010, n. 11087; Cass.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27 maggio 2004, n. 26308.</w:t>
      </w:r>
    </w:p>
    <w:p w:rsidR="00896B8F" w:rsidRDefault="00896B8F" w:rsidP="00F15CB1">
      <w:pPr>
        <w:spacing w:after="0"/>
        <w:jc w:val="both"/>
        <w:rPr>
          <w:rFonts w:ascii="Times New Roman" w:hAnsi="Times New Roman" w:cs="Times New Roman"/>
          <w:sz w:val="24"/>
          <w:szCs w:val="24"/>
        </w:rPr>
      </w:pPr>
    </w:p>
    <w:p w:rsidR="00896B8F" w:rsidRDefault="00896B8F" w:rsidP="00F15CB1">
      <w:pPr>
        <w:spacing w:after="0"/>
        <w:jc w:val="both"/>
        <w:rPr>
          <w:rFonts w:ascii="Times New Roman" w:hAnsi="Times New Roman" w:cs="Times New Roman"/>
          <w:sz w:val="24"/>
          <w:szCs w:val="24"/>
        </w:rPr>
      </w:pPr>
      <w:r>
        <w:rPr>
          <w:rFonts w:ascii="Times New Roman" w:hAnsi="Times New Roman" w:cs="Times New Roman"/>
          <w:b/>
          <w:sz w:val="24"/>
          <w:szCs w:val="24"/>
        </w:rPr>
        <w:t xml:space="preserve">Giurisprudenza difforme: </w:t>
      </w:r>
      <w:r>
        <w:rPr>
          <w:rFonts w:ascii="Times New Roman" w:hAnsi="Times New Roman" w:cs="Times New Roman"/>
          <w:sz w:val="24"/>
          <w:szCs w:val="24"/>
        </w:rPr>
        <w:t xml:space="preserve">Cass.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6 marzo 2012, n. 25120; Cass., Sez. Un., 19 giugno 1982, n. Alunni.</w:t>
      </w:r>
    </w:p>
    <w:p w:rsidR="00896B8F" w:rsidRDefault="00896B8F" w:rsidP="00F15CB1">
      <w:pPr>
        <w:spacing w:after="0"/>
        <w:jc w:val="both"/>
        <w:rPr>
          <w:rFonts w:ascii="Times New Roman" w:hAnsi="Times New Roman" w:cs="Times New Roman"/>
          <w:sz w:val="24"/>
          <w:szCs w:val="24"/>
        </w:rPr>
      </w:pPr>
    </w:p>
    <w:p w:rsidR="00896B8F" w:rsidRPr="00896B8F" w:rsidRDefault="00896B8F" w:rsidP="00F15CB1">
      <w:pPr>
        <w:spacing w:after="0"/>
        <w:jc w:val="both"/>
        <w:rPr>
          <w:rFonts w:ascii="Times New Roman" w:hAnsi="Times New Roman" w:cs="Times New Roman"/>
          <w:sz w:val="24"/>
          <w:szCs w:val="24"/>
          <w:lang w:val="en-US"/>
        </w:rPr>
      </w:pPr>
      <w:r>
        <w:rPr>
          <w:rFonts w:ascii="Times New Roman" w:hAnsi="Times New Roman" w:cs="Times New Roman"/>
          <w:b/>
          <w:sz w:val="24"/>
          <w:szCs w:val="24"/>
        </w:rPr>
        <w:t xml:space="preserve">Riferimenti normativi: </w:t>
      </w:r>
      <w:r>
        <w:rPr>
          <w:rFonts w:ascii="Times New Roman" w:hAnsi="Times New Roman" w:cs="Times New Roman"/>
          <w:sz w:val="24"/>
          <w:szCs w:val="24"/>
        </w:rPr>
        <w:t xml:space="preserve">artt. 3, 25 e 101 Cost.; artt. </w:t>
      </w:r>
      <w:r w:rsidRPr="00896B8F">
        <w:rPr>
          <w:rFonts w:ascii="Times New Roman" w:hAnsi="Times New Roman" w:cs="Times New Roman"/>
          <w:sz w:val="24"/>
          <w:szCs w:val="24"/>
          <w:lang w:val="en-US"/>
        </w:rPr>
        <w:t>17, 18, 39, 69, 78, 81 e 133 c. p.; art. 187 disp. a</w:t>
      </w:r>
      <w:r>
        <w:rPr>
          <w:rFonts w:ascii="Times New Roman" w:hAnsi="Times New Roman" w:cs="Times New Roman"/>
          <w:sz w:val="24"/>
          <w:szCs w:val="24"/>
          <w:lang w:val="en-US"/>
        </w:rPr>
        <w:t xml:space="preserve">tt. </w:t>
      </w:r>
      <w:r w:rsidRPr="00896B8F">
        <w:rPr>
          <w:rFonts w:ascii="Times New Roman" w:hAnsi="Times New Roman" w:cs="Times New Roman"/>
          <w:sz w:val="24"/>
          <w:szCs w:val="24"/>
          <w:lang w:val="en-US"/>
        </w:rPr>
        <w:t>c</w:t>
      </w:r>
      <w:r>
        <w:rPr>
          <w:rFonts w:ascii="Times New Roman" w:hAnsi="Times New Roman" w:cs="Times New Roman"/>
          <w:sz w:val="24"/>
          <w:szCs w:val="24"/>
          <w:lang w:val="en-US"/>
        </w:rPr>
        <w:t>. p. p</w:t>
      </w:r>
      <w:r w:rsidR="009D125E">
        <w:rPr>
          <w:rFonts w:ascii="Times New Roman" w:hAnsi="Times New Roman" w:cs="Times New Roman"/>
          <w:sz w:val="24"/>
          <w:szCs w:val="24"/>
          <w:lang w:val="en-US"/>
        </w:rPr>
        <w:t>.</w:t>
      </w:r>
      <w:r w:rsidR="004F7B47">
        <w:rPr>
          <w:rFonts w:ascii="Times New Roman" w:hAnsi="Times New Roman" w:cs="Times New Roman"/>
          <w:sz w:val="24"/>
          <w:szCs w:val="24"/>
          <w:lang w:val="en-US"/>
        </w:rPr>
        <w:t>.</w:t>
      </w:r>
      <w:r w:rsidRPr="00896B8F">
        <w:rPr>
          <w:rFonts w:ascii="Times New Roman" w:hAnsi="Times New Roman" w:cs="Times New Roman"/>
          <w:sz w:val="24"/>
          <w:szCs w:val="24"/>
          <w:lang w:val="en-US"/>
        </w:rPr>
        <w:t xml:space="preserve"> </w:t>
      </w:r>
    </w:p>
    <w:p w:rsidR="008D2797" w:rsidRPr="00896B8F" w:rsidRDefault="008D2797" w:rsidP="00F15CB1">
      <w:pPr>
        <w:spacing w:after="0"/>
        <w:jc w:val="both"/>
        <w:rPr>
          <w:rFonts w:ascii="Times New Roman" w:hAnsi="Times New Roman" w:cs="Times New Roman"/>
          <w:b/>
          <w:sz w:val="24"/>
          <w:szCs w:val="24"/>
          <w:lang w:val="en-US"/>
        </w:rPr>
      </w:pPr>
    </w:p>
    <w:p w:rsidR="00E271CB" w:rsidRPr="00CB274D" w:rsidRDefault="00E271CB" w:rsidP="00F15CB1">
      <w:pPr>
        <w:spacing w:after="0"/>
        <w:jc w:val="both"/>
        <w:rPr>
          <w:rFonts w:ascii="Times New Roman" w:hAnsi="Times New Roman" w:cs="Times New Roman"/>
          <w:b/>
          <w:sz w:val="24"/>
          <w:szCs w:val="24"/>
          <w:lang w:val="en-US"/>
        </w:rPr>
      </w:pPr>
    </w:p>
    <w:p w:rsidR="00D50D42" w:rsidRDefault="00D50D42" w:rsidP="00F15CB1">
      <w:pPr>
        <w:spacing w:after="0"/>
        <w:jc w:val="both"/>
        <w:rPr>
          <w:rFonts w:ascii="Times New Roman" w:hAnsi="Times New Roman" w:cs="Times New Roman"/>
          <w:b/>
          <w:sz w:val="24"/>
          <w:szCs w:val="24"/>
        </w:rPr>
      </w:pPr>
      <w:r>
        <w:rPr>
          <w:rFonts w:ascii="Times New Roman" w:hAnsi="Times New Roman" w:cs="Times New Roman"/>
          <w:b/>
          <w:sz w:val="24"/>
          <w:szCs w:val="24"/>
        </w:rPr>
        <w:t>Sequestro di persona e rapina</w:t>
      </w:r>
    </w:p>
    <w:p w:rsidR="00D50D42" w:rsidRDefault="00D50D42" w:rsidP="00F15CB1">
      <w:pPr>
        <w:spacing w:after="0"/>
        <w:jc w:val="both"/>
        <w:rPr>
          <w:rFonts w:ascii="Times New Roman" w:hAnsi="Times New Roman" w:cs="Times New Roman"/>
          <w:b/>
          <w:sz w:val="24"/>
          <w:szCs w:val="24"/>
        </w:rPr>
      </w:pPr>
    </w:p>
    <w:p w:rsidR="00D50D42" w:rsidRDefault="00D50D42" w:rsidP="00F15CB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Cass. </w:t>
      </w:r>
      <w:proofErr w:type="spellStart"/>
      <w:r>
        <w:rPr>
          <w:rFonts w:ascii="Times New Roman" w:hAnsi="Times New Roman" w:cs="Times New Roman"/>
          <w:b/>
          <w:sz w:val="24"/>
          <w:szCs w:val="24"/>
        </w:rPr>
        <w:t>pen</w:t>
      </w:r>
      <w:proofErr w:type="spellEnd"/>
      <w:r>
        <w:rPr>
          <w:rFonts w:ascii="Times New Roman" w:hAnsi="Times New Roman" w:cs="Times New Roman"/>
          <w:b/>
          <w:sz w:val="24"/>
          <w:szCs w:val="24"/>
        </w:rPr>
        <w:t>., Sez. I, 3 giugno 2013, n. 23937</w:t>
      </w:r>
    </w:p>
    <w:p w:rsidR="00D50D42" w:rsidRDefault="00D50D42" w:rsidP="00F15CB1">
      <w:pPr>
        <w:spacing w:after="0"/>
        <w:jc w:val="both"/>
        <w:rPr>
          <w:rFonts w:ascii="Times New Roman" w:hAnsi="Times New Roman" w:cs="Times New Roman"/>
          <w:b/>
          <w:sz w:val="24"/>
          <w:szCs w:val="24"/>
        </w:rPr>
      </w:pPr>
    </w:p>
    <w:p w:rsidR="00D50D42" w:rsidRDefault="00D50D42" w:rsidP="00F15CB1">
      <w:pPr>
        <w:spacing w:after="0"/>
        <w:jc w:val="both"/>
        <w:rPr>
          <w:rFonts w:ascii="Times New Roman" w:hAnsi="Times New Roman" w:cs="Times New Roman"/>
          <w:b/>
          <w:sz w:val="24"/>
          <w:szCs w:val="24"/>
        </w:rPr>
      </w:pPr>
      <w:r>
        <w:rPr>
          <w:rFonts w:ascii="Times New Roman" w:hAnsi="Times New Roman" w:cs="Times New Roman"/>
          <w:b/>
          <w:sz w:val="24"/>
          <w:szCs w:val="24"/>
        </w:rPr>
        <w:t>Massima:</w:t>
      </w:r>
    </w:p>
    <w:p w:rsidR="00D50D42" w:rsidRDefault="00D50D42" w:rsidP="00F15CB1">
      <w:pPr>
        <w:spacing w:after="0"/>
        <w:jc w:val="both"/>
        <w:rPr>
          <w:rFonts w:ascii="Times New Roman" w:hAnsi="Times New Roman" w:cs="Times New Roman"/>
          <w:b/>
          <w:sz w:val="24"/>
          <w:szCs w:val="24"/>
        </w:rPr>
      </w:pPr>
    </w:p>
    <w:p w:rsidR="00D50D42" w:rsidRDefault="00D50D42" w:rsidP="00F15CB1">
      <w:pPr>
        <w:spacing w:after="0"/>
        <w:jc w:val="both"/>
        <w:rPr>
          <w:rFonts w:ascii="Times New Roman" w:hAnsi="Times New Roman" w:cs="Times New Roman"/>
          <w:b/>
          <w:sz w:val="24"/>
          <w:szCs w:val="24"/>
        </w:rPr>
      </w:pPr>
      <w:r w:rsidRPr="00D50D42">
        <w:rPr>
          <w:rFonts w:ascii="Times New Roman" w:hAnsi="Times New Roman" w:cs="Times New Roman"/>
          <w:b/>
          <w:sz w:val="24"/>
          <w:szCs w:val="24"/>
        </w:rPr>
        <w:t xml:space="preserve">Per il sequestro di persona a scopo di estorsione, l'art. 630 cod. </w:t>
      </w:r>
      <w:proofErr w:type="spellStart"/>
      <w:r w:rsidRPr="00D50D42">
        <w:rPr>
          <w:rFonts w:ascii="Times New Roman" w:hAnsi="Times New Roman" w:cs="Times New Roman"/>
          <w:b/>
          <w:sz w:val="24"/>
          <w:szCs w:val="24"/>
        </w:rPr>
        <w:t>pen</w:t>
      </w:r>
      <w:proofErr w:type="spellEnd"/>
      <w:r w:rsidRPr="00D50D42">
        <w:rPr>
          <w:rFonts w:ascii="Times New Roman" w:hAnsi="Times New Roman" w:cs="Times New Roman"/>
          <w:b/>
          <w:sz w:val="24"/>
          <w:szCs w:val="24"/>
        </w:rPr>
        <w:t xml:space="preserve">. prevede che l'autore persegue e richiede un ingiusto profitto come prezzo della liberazione. Ciò significa che è necessario, per tale reato, che venga corrisposta un'utilità in un momento successivo alla privazione della libertà dell'ostaggio, libertà il cui ripristino è condizionato da tale pagamento. Pertanto si esclude che possa essere qualificata ex art. 630 cod. </w:t>
      </w:r>
      <w:proofErr w:type="spellStart"/>
      <w:r w:rsidRPr="00D50D42">
        <w:rPr>
          <w:rFonts w:ascii="Times New Roman" w:hAnsi="Times New Roman" w:cs="Times New Roman"/>
          <w:b/>
          <w:sz w:val="24"/>
          <w:szCs w:val="24"/>
        </w:rPr>
        <w:t>pen</w:t>
      </w:r>
      <w:proofErr w:type="spellEnd"/>
      <w:r w:rsidRPr="00D50D42">
        <w:rPr>
          <w:rFonts w:ascii="Times New Roman" w:hAnsi="Times New Roman" w:cs="Times New Roman"/>
          <w:b/>
          <w:sz w:val="24"/>
          <w:szCs w:val="24"/>
        </w:rPr>
        <w:t xml:space="preserve">. la condotta di </w:t>
      </w:r>
      <w:r w:rsidRPr="00D50D42">
        <w:rPr>
          <w:rFonts w:ascii="Times New Roman" w:hAnsi="Times New Roman" w:cs="Times New Roman"/>
          <w:b/>
          <w:sz w:val="24"/>
          <w:szCs w:val="24"/>
        </w:rPr>
        <w:lastRenderedPageBreak/>
        <w:t>chi prende un ostaggio, e dunque attua un sequestro di persona, per mantenere un profitto già ottenuto, come nel caso di una rapina</w:t>
      </w:r>
    </w:p>
    <w:p w:rsidR="00D50D42" w:rsidRDefault="00D50D42" w:rsidP="00F15CB1">
      <w:pPr>
        <w:spacing w:after="0"/>
        <w:jc w:val="both"/>
        <w:rPr>
          <w:rFonts w:ascii="Times New Roman" w:hAnsi="Times New Roman" w:cs="Times New Roman"/>
          <w:b/>
          <w:sz w:val="24"/>
          <w:szCs w:val="24"/>
        </w:rPr>
      </w:pPr>
    </w:p>
    <w:p w:rsidR="00D50D42" w:rsidRDefault="00D50D42" w:rsidP="00F15CB1">
      <w:pPr>
        <w:spacing w:after="0"/>
        <w:jc w:val="both"/>
        <w:rPr>
          <w:rFonts w:ascii="Times New Roman" w:hAnsi="Times New Roman" w:cs="Times New Roman"/>
          <w:sz w:val="24"/>
          <w:szCs w:val="24"/>
        </w:rPr>
      </w:pPr>
      <w:r>
        <w:rPr>
          <w:rFonts w:ascii="Times New Roman" w:hAnsi="Times New Roman" w:cs="Times New Roman"/>
          <w:sz w:val="24"/>
          <w:szCs w:val="24"/>
        </w:rPr>
        <w:t>Ricognizione:</w:t>
      </w:r>
    </w:p>
    <w:p w:rsidR="00D50D42" w:rsidRDefault="00D50D42" w:rsidP="00F15CB1">
      <w:pPr>
        <w:spacing w:after="0"/>
        <w:jc w:val="both"/>
        <w:rPr>
          <w:rFonts w:ascii="Times New Roman" w:hAnsi="Times New Roman" w:cs="Times New Roman"/>
          <w:sz w:val="24"/>
          <w:szCs w:val="24"/>
        </w:rPr>
      </w:pPr>
    </w:p>
    <w:p w:rsidR="00F43D24" w:rsidRDefault="00112EE6" w:rsidP="00AE173D">
      <w:pPr>
        <w:spacing w:after="0"/>
        <w:jc w:val="both"/>
        <w:rPr>
          <w:rFonts w:ascii="Times New Roman" w:hAnsi="Times New Roman" w:cs="Times New Roman"/>
          <w:sz w:val="24"/>
          <w:szCs w:val="24"/>
        </w:rPr>
      </w:pPr>
      <w:r>
        <w:rPr>
          <w:rFonts w:ascii="Times New Roman" w:hAnsi="Times New Roman" w:cs="Times New Roman"/>
          <w:sz w:val="24"/>
          <w:szCs w:val="24"/>
        </w:rPr>
        <w:t>Nel caso di specie, l’ imputato aveva fatto irruzione in una banca insieme ad un complice e, brandendo un arma, aveva sottratto 9.000 euro ed aveva preso in ostaggio un ragazzo per poi d</w:t>
      </w:r>
      <w:r w:rsidR="00896B8F">
        <w:rPr>
          <w:rFonts w:ascii="Times New Roman" w:hAnsi="Times New Roman" w:cs="Times New Roman"/>
          <w:sz w:val="24"/>
          <w:szCs w:val="24"/>
        </w:rPr>
        <w:t>arsi alla fuga; tuttavia, era stato,</w:t>
      </w:r>
      <w:r>
        <w:rPr>
          <w:rFonts w:ascii="Times New Roman" w:hAnsi="Times New Roman" w:cs="Times New Roman"/>
          <w:sz w:val="24"/>
          <w:szCs w:val="24"/>
        </w:rPr>
        <w:t xml:space="preserve"> dopo poco</w:t>
      </w:r>
      <w:r w:rsidR="00896B8F">
        <w:rPr>
          <w:rFonts w:ascii="Times New Roman" w:hAnsi="Times New Roman" w:cs="Times New Roman"/>
          <w:sz w:val="24"/>
          <w:szCs w:val="24"/>
        </w:rPr>
        <w:t>,</w:t>
      </w:r>
      <w:r>
        <w:rPr>
          <w:rFonts w:ascii="Times New Roman" w:hAnsi="Times New Roman" w:cs="Times New Roman"/>
          <w:sz w:val="24"/>
          <w:szCs w:val="24"/>
        </w:rPr>
        <w:t xml:space="preserve"> catturato dalla polizia.</w:t>
      </w:r>
    </w:p>
    <w:p w:rsidR="006C69AC" w:rsidRDefault="00F43D24" w:rsidP="006C69AC">
      <w:pPr>
        <w:spacing w:after="0"/>
        <w:jc w:val="both"/>
        <w:rPr>
          <w:rFonts w:ascii="Times New Roman" w:hAnsi="Times New Roman" w:cs="Times New Roman"/>
          <w:sz w:val="24"/>
          <w:szCs w:val="24"/>
        </w:rPr>
      </w:pPr>
      <w:r>
        <w:rPr>
          <w:rFonts w:ascii="Times New Roman" w:hAnsi="Times New Roman" w:cs="Times New Roman"/>
          <w:sz w:val="24"/>
          <w:szCs w:val="24"/>
        </w:rPr>
        <w:t>I giudici della Suprema Corte puntualizzano che il ricorso del P. M. è da ritenersi infondato, in quanto la condotta dell’ imputato non può ricondursi all’ art. 630 c. p. (sequestro di persona a scopo di estorsione), ma piuttosto, all’ art. 605 c. p. (sequestro di persona), con l’ aggravante di cui all’ a</w:t>
      </w:r>
      <w:r w:rsidR="00896B8F">
        <w:rPr>
          <w:rFonts w:ascii="Times New Roman" w:hAnsi="Times New Roman" w:cs="Times New Roman"/>
          <w:sz w:val="24"/>
          <w:szCs w:val="24"/>
        </w:rPr>
        <w:t>rt. 61, n. 2 c. p., posto che tale</w:t>
      </w:r>
      <w:r>
        <w:rPr>
          <w:rFonts w:ascii="Times New Roman" w:hAnsi="Times New Roman" w:cs="Times New Roman"/>
          <w:sz w:val="24"/>
          <w:szCs w:val="24"/>
        </w:rPr>
        <w:t xml:space="preserve"> condotta criminosa è attuata per assicurarsi il profitto derivante da altro reato</w:t>
      </w:r>
      <w:r w:rsidR="00896B8F">
        <w:rPr>
          <w:rFonts w:ascii="Times New Roman" w:hAnsi="Times New Roman" w:cs="Times New Roman"/>
          <w:sz w:val="24"/>
          <w:szCs w:val="24"/>
        </w:rPr>
        <w:t xml:space="preserve"> (quello di rapina)</w:t>
      </w:r>
      <w:r>
        <w:rPr>
          <w:rFonts w:ascii="Times New Roman" w:hAnsi="Times New Roman" w:cs="Times New Roman"/>
          <w:sz w:val="24"/>
          <w:szCs w:val="24"/>
        </w:rPr>
        <w:t>.</w:t>
      </w:r>
      <w:r w:rsidR="00AE173D">
        <w:rPr>
          <w:rFonts w:ascii="Times New Roman" w:hAnsi="Times New Roman" w:cs="Times New Roman"/>
          <w:sz w:val="24"/>
          <w:szCs w:val="24"/>
        </w:rPr>
        <w:t xml:space="preserve"> D’ altra parte, il ricorso del P. M. equivoca tra il significato giuridico di prezzo (che è l’ unico previsto dall’ art. 630 c. p.) e quello di profitto</w:t>
      </w:r>
      <w:r w:rsidR="00F27E9C">
        <w:rPr>
          <w:rFonts w:ascii="Times New Roman" w:hAnsi="Times New Roman" w:cs="Times New Roman"/>
          <w:sz w:val="24"/>
          <w:szCs w:val="24"/>
        </w:rPr>
        <w:t>; invero, con il termine prezzo ci si può riferire soltanto al corrispettivo dell’ esecuzione del reato (“ciò che si deve pagare per ottenere un qualcosa che altrimenti non si può avere”</w:t>
      </w:r>
      <w:r w:rsidR="00B46C0E">
        <w:rPr>
          <w:rFonts w:ascii="Times New Roman" w:hAnsi="Times New Roman" w:cs="Times New Roman"/>
          <w:sz w:val="24"/>
          <w:szCs w:val="24"/>
        </w:rPr>
        <w:t>), e non al bot</w:t>
      </w:r>
      <w:r w:rsidR="00B67C94">
        <w:rPr>
          <w:rFonts w:ascii="Times New Roman" w:hAnsi="Times New Roman" w:cs="Times New Roman"/>
          <w:sz w:val="24"/>
          <w:szCs w:val="24"/>
        </w:rPr>
        <w:t>tino di una rapina già commessa, materialmente già appreso dai rapinatori.</w:t>
      </w:r>
    </w:p>
    <w:p w:rsidR="006C69AC" w:rsidRDefault="006C69AC" w:rsidP="006C69AC">
      <w:pPr>
        <w:spacing w:after="0"/>
        <w:jc w:val="both"/>
        <w:rPr>
          <w:rFonts w:ascii="Times New Roman" w:hAnsi="Times New Roman" w:cs="Times New Roman"/>
          <w:sz w:val="24"/>
          <w:szCs w:val="24"/>
        </w:rPr>
      </w:pPr>
    </w:p>
    <w:p w:rsidR="006C69AC" w:rsidRPr="006C69AC" w:rsidRDefault="006C69AC" w:rsidP="006C69AC">
      <w:pPr>
        <w:spacing w:after="0"/>
        <w:jc w:val="both"/>
        <w:rPr>
          <w:rFonts w:ascii="Times New Roman" w:hAnsi="Times New Roman" w:cs="Times New Roman"/>
          <w:sz w:val="24"/>
          <w:szCs w:val="24"/>
        </w:rPr>
      </w:pPr>
      <w:r>
        <w:rPr>
          <w:rFonts w:ascii="Times New Roman" w:hAnsi="Times New Roman" w:cs="Times New Roman"/>
          <w:b/>
          <w:sz w:val="24"/>
          <w:szCs w:val="24"/>
        </w:rPr>
        <w:t xml:space="preserve">Giurisprudenza conforme: </w:t>
      </w:r>
      <w:r>
        <w:rPr>
          <w:rFonts w:ascii="Times New Roman" w:hAnsi="Times New Roman" w:cs="Times New Roman"/>
          <w:sz w:val="24"/>
          <w:szCs w:val="24"/>
        </w:rPr>
        <w:t xml:space="preserve">Cass.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27 aprile 2010, n. 16332; Cass.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24 giugno 2009, n. 26279.</w:t>
      </w:r>
    </w:p>
    <w:p w:rsidR="006C69AC" w:rsidRDefault="006C69AC" w:rsidP="006C69AC">
      <w:pPr>
        <w:spacing w:after="0"/>
        <w:jc w:val="both"/>
        <w:rPr>
          <w:rFonts w:ascii="Times New Roman" w:hAnsi="Times New Roman" w:cs="Times New Roman"/>
          <w:b/>
          <w:sz w:val="24"/>
          <w:szCs w:val="24"/>
        </w:rPr>
      </w:pPr>
    </w:p>
    <w:p w:rsidR="006C69AC" w:rsidRDefault="006C69AC" w:rsidP="006C69AC">
      <w:pPr>
        <w:spacing w:after="0"/>
        <w:jc w:val="both"/>
        <w:rPr>
          <w:rFonts w:ascii="Times New Roman" w:hAnsi="Times New Roman" w:cs="Times New Roman"/>
          <w:sz w:val="24"/>
          <w:szCs w:val="24"/>
        </w:rPr>
      </w:pPr>
      <w:r>
        <w:rPr>
          <w:rFonts w:ascii="Times New Roman" w:hAnsi="Times New Roman" w:cs="Times New Roman"/>
          <w:b/>
          <w:sz w:val="24"/>
          <w:szCs w:val="24"/>
        </w:rPr>
        <w:t xml:space="preserve">Riferimenti normativi: </w:t>
      </w:r>
      <w:r>
        <w:rPr>
          <w:rFonts w:ascii="Times New Roman" w:hAnsi="Times New Roman" w:cs="Times New Roman"/>
          <w:sz w:val="24"/>
          <w:szCs w:val="24"/>
        </w:rPr>
        <w:t>artt. 61, n. 2, 605, 628, 630 c. p..</w:t>
      </w:r>
    </w:p>
    <w:p w:rsidR="001652F1" w:rsidRDefault="001652F1" w:rsidP="006C69AC">
      <w:pPr>
        <w:spacing w:after="0"/>
        <w:jc w:val="both"/>
        <w:rPr>
          <w:rFonts w:ascii="Times New Roman" w:hAnsi="Times New Roman" w:cs="Times New Roman"/>
          <w:sz w:val="24"/>
          <w:szCs w:val="24"/>
        </w:rPr>
      </w:pPr>
    </w:p>
    <w:p w:rsidR="001652F1" w:rsidRDefault="001652F1" w:rsidP="006C69AC">
      <w:pPr>
        <w:spacing w:after="0"/>
        <w:jc w:val="both"/>
        <w:rPr>
          <w:rFonts w:ascii="Times New Roman" w:hAnsi="Times New Roman" w:cs="Times New Roman"/>
          <w:sz w:val="24"/>
          <w:szCs w:val="24"/>
        </w:rPr>
      </w:pPr>
    </w:p>
    <w:p w:rsidR="001652F1" w:rsidRDefault="001652F1" w:rsidP="006C69AC">
      <w:pPr>
        <w:spacing w:after="0"/>
        <w:jc w:val="both"/>
        <w:rPr>
          <w:rFonts w:ascii="Times New Roman" w:hAnsi="Times New Roman" w:cs="Times New Roman"/>
          <w:b/>
          <w:sz w:val="28"/>
          <w:szCs w:val="28"/>
        </w:rPr>
      </w:pPr>
      <w:r>
        <w:rPr>
          <w:rFonts w:ascii="Times New Roman" w:hAnsi="Times New Roman" w:cs="Times New Roman"/>
          <w:b/>
          <w:sz w:val="28"/>
          <w:szCs w:val="28"/>
        </w:rPr>
        <w:t>AMMINISTRATIVO</w:t>
      </w:r>
    </w:p>
    <w:p w:rsidR="001652F1" w:rsidRDefault="001652F1" w:rsidP="006C69AC">
      <w:pPr>
        <w:spacing w:after="0"/>
        <w:jc w:val="both"/>
        <w:rPr>
          <w:rFonts w:ascii="Times New Roman" w:hAnsi="Times New Roman" w:cs="Times New Roman"/>
          <w:b/>
          <w:sz w:val="24"/>
          <w:szCs w:val="24"/>
        </w:rPr>
      </w:pPr>
    </w:p>
    <w:p w:rsidR="001652F1" w:rsidRDefault="001652F1" w:rsidP="006C69AC">
      <w:pPr>
        <w:spacing w:after="0"/>
        <w:jc w:val="both"/>
        <w:rPr>
          <w:rFonts w:ascii="Times New Roman" w:hAnsi="Times New Roman" w:cs="Times New Roman"/>
          <w:b/>
          <w:sz w:val="24"/>
          <w:szCs w:val="24"/>
        </w:rPr>
      </w:pPr>
      <w:r>
        <w:rPr>
          <w:rFonts w:ascii="Times New Roman" w:hAnsi="Times New Roman" w:cs="Times New Roman"/>
          <w:b/>
          <w:sz w:val="24"/>
          <w:szCs w:val="24"/>
        </w:rPr>
        <w:t>Omessa o ritardata assunzione</w:t>
      </w:r>
    </w:p>
    <w:p w:rsidR="006961C8" w:rsidRDefault="006961C8" w:rsidP="006C69AC">
      <w:pPr>
        <w:spacing w:after="0"/>
        <w:jc w:val="both"/>
        <w:rPr>
          <w:rFonts w:ascii="Times New Roman" w:hAnsi="Times New Roman" w:cs="Times New Roman"/>
          <w:b/>
          <w:sz w:val="24"/>
          <w:szCs w:val="24"/>
        </w:rPr>
      </w:pPr>
    </w:p>
    <w:p w:rsidR="001652F1" w:rsidRDefault="001652F1" w:rsidP="006C69AC">
      <w:pPr>
        <w:spacing w:after="0"/>
        <w:jc w:val="both"/>
        <w:rPr>
          <w:rFonts w:ascii="Times New Roman" w:hAnsi="Times New Roman" w:cs="Times New Roman"/>
          <w:b/>
          <w:sz w:val="24"/>
          <w:szCs w:val="24"/>
        </w:rPr>
      </w:pPr>
      <w:r>
        <w:rPr>
          <w:rFonts w:ascii="Times New Roman" w:hAnsi="Times New Roman" w:cs="Times New Roman"/>
          <w:b/>
          <w:sz w:val="24"/>
          <w:szCs w:val="24"/>
        </w:rPr>
        <w:t>Cons. St., Sez. III, 4 giugno 2013, n. 3049</w:t>
      </w:r>
    </w:p>
    <w:p w:rsidR="001652F1" w:rsidRDefault="001652F1" w:rsidP="006C69AC">
      <w:pPr>
        <w:spacing w:after="0"/>
        <w:jc w:val="both"/>
        <w:rPr>
          <w:rFonts w:ascii="Times New Roman" w:hAnsi="Times New Roman" w:cs="Times New Roman"/>
          <w:b/>
          <w:sz w:val="24"/>
          <w:szCs w:val="24"/>
        </w:rPr>
      </w:pPr>
    </w:p>
    <w:p w:rsidR="001652F1" w:rsidRDefault="001652F1" w:rsidP="006C69AC">
      <w:pPr>
        <w:spacing w:after="0"/>
        <w:jc w:val="both"/>
        <w:rPr>
          <w:rFonts w:ascii="Times New Roman" w:hAnsi="Times New Roman" w:cs="Times New Roman"/>
          <w:b/>
          <w:sz w:val="24"/>
          <w:szCs w:val="24"/>
        </w:rPr>
      </w:pPr>
      <w:r>
        <w:rPr>
          <w:rFonts w:ascii="Times New Roman" w:hAnsi="Times New Roman" w:cs="Times New Roman"/>
          <w:b/>
          <w:sz w:val="24"/>
          <w:szCs w:val="24"/>
        </w:rPr>
        <w:t>Massima:</w:t>
      </w:r>
    </w:p>
    <w:p w:rsidR="001652F1" w:rsidRDefault="001652F1" w:rsidP="006C69AC">
      <w:pPr>
        <w:spacing w:after="0"/>
        <w:jc w:val="both"/>
        <w:rPr>
          <w:rFonts w:ascii="Times New Roman" w:hAnsi="Times New Roman" w:cs="Times New Roman"/>
          <w:b/>
          <w:sz w:val="24"/>
          <w:szCs w:val="24"/>
        </w:rPr>
      </w:pPr>
    </w:p>
    <w:p w:rsidR="001652F1" w:rsidRDefault="009A52BC" w:rsidP="006C69AC">
      <w:pPr>
        <w:spacing w:after="0"/>
        <w:jc w:val="both"/>
        <w:rPr>
          <w:rFonts w:ascii="Times New Roman" w:hAnsi="Times New Roman" w:cs="Times New Roman"/>
          <w:b/>
          <w:sz w:val="24"/>
          <w:szCs w:val="24"/>
        </w:rPr>
      </w:pPr>
      <w:r w:rsidRPr="009A52BC">
        <w:rPr>
          <w:rFonts w:ascii="Times New Roman" w:hAnsi="Times New Roman" w:cs="Times New Roman"/>
          <w:b/>
          <w:sz w:val="24"/>
          <w:szCs w:val="24"/>
        </w:rPr>
        <w:t>In sede di quantificazione per equivalente del danno nel caso di omessa o ritardata assunzione esso, non si identifica in astratto nella mancata erogazione della retribuzione e della contribuzione, elementi che rilevano sotto il profilo della responsabilità contrattuale. In contrario occorre caso per caso indicare e dimostrare l’entità dei pregiudizi di tipo patrimoniale e non patrimoniale che trovino causa nella condotta del datore di lavoro che si qualifica come illecita.</w:t>
      </w:r>
    </w:p>
    <w:p w:rsidR="009A52BC" w:rsidRDefault="009A52BC" w:rsidP="006C69AC">
      <w:pPr>
        <w:spacing w:after="0"/>
        <w:jc w:val="both"/>
        <w:rPr>
          <w:rFonts w:ascii="Times New Roman" w:hAnsi="Times New Roman" w:cs="Times New Roman"/>
          <w:b/>
          <w:sz w:val="24"/>
          <w:szCs w:val="24"/>
        </w:rPr>
      </w:pPr>
    </w:p>
    <w:p w:rsidR="009A52BC" w:rsidRDefault="009A52BC" w:rsidP="006C69AC">
      <w:pPr>
        <w:spacing w:after="0"/>
        <w:jc w:val="both"/>
        <w:rPr>
          <w:rFonts w:ascii="Times New Roman" w:hAnsi="Times New Roman" w:cs="Times New Roman"/>
          <w:b/>
          <w:sz w:val="24"/>
          <w:szCs w:val="24"/>
        </w:rPr>
      </w:pPr>
      <w:r w:rsidRPr="009A52BC">
        <w:rPr>
          <w:rFonts w:ascii="Times New Roman" w:hAnsi="Times New Roman" w:cs="Times New Roman"/>
          <w:b/>
          <w:sz w:val="24"/>
          <w:szCs w:val="24"/>
        </w:rPr>
        <w:t>In applicazione degli artt. 2056, I e II comma, e 1226</w:t>
      </w:r>
      <w:r w:rsidR="00AF54AF">
        <w:rPr>
          <w:rFonts w:ascii="Times New Roman" w:hAnsi="Times New Roman" w:cs="Times New Roman"/>
          <w:b/>
          <w:sz w:val="24"/>
          <w:szCs w:val="24"/>
        </w:rPr>
        <w:t xml:space="preserve"> c. c.</w:t>
      </w:r>
      <w:r w:rsidRPr="009A52BC">
        <w:rPr>
          <w:rFonts w:ascii="Times New Roman" w:hAnsi="Times New Roman" w:cs="Times New Roman"/>
          <w:b/>
          <w:sz w:val="24"/>
          <w:szCs w:val="24"/>
        </w:rPr>
        <w:t>. il danno sofferto va determinato in una somma pari al 50 % delle retribuzioni previste per la qualifica da conferire</w:t>
      </w:r>
      <w:r>
        <w:rPr>
          <w:rFonts w:ascii="Times New Roman" w:hAnsi="Times New Roman" w:cs="Times New Roman"/>
          <w:b/>
          <w:sz w:val="24"/>
          <w:szCs w:val="24"/>
        </w:rPr>
        <w:t>,</w:t>
      </w:r>
      <w:r w:rsidRPr="009A52BC">
        <w:rPr>
          <w:rFonts w:ascii="Times New Roman" w:hAnsi="Times New Roman" w:cs="Times New Roman"/>
          <w:b/>
          <w:sz w:val="24"/>
          <w:szCs w:val="24"/>
        </w:rPr>
        <w:t xml:space="preserve"> detratto ogni eventuale periodo di attività lavorativa svolta ad altro titolo. Al riconoscimento delle spettanze retributive si collega il distinto obbligo di regolarizzare la posizione contributiva e previdenziale. Sulle somme dovute spettano la rivalutazione monetaria e gli interessi al tasso </w:t>
      </w:r>
      <w:r w:rsidRPr="009A52BC">
        <w:rPr>
          <w:rFonts w:ascii="Times New Roman" w:hAnsi="Times New Roman" w:cs="Times New Roman"/>
          <w:b/>
          <w:sz w:val="24"/>
          <w:szCs w:val="24"/>
        </w:rPr>
        <w:lastRenderedPageBreak/>
        <w:t>legale, questi ultimi nella sola misura eccedente il danno da svalutazione, da calcolarsi a partire dal momento di maturazione dei singoli ratei di retribuzione e fino all’ effettivo soddisfo.</w:t>
      </w:r>
    </w:p>
    <w:p w:rsidR="009A52BC" w:rsidRDefault="009A52BC" w:rsidP="006C69AC">
      <w:pPr>
        <w:spacing w:after="0"/>
        <w:jc w:val="both"/>
        <w:rPr>
          <w:rFonts w:ascii="Times New Roman" w:hAnsi="Times New Roman" w:cs="Times New Roman"/>
          <w:b/>
          <w:sz w:val="24"/>
          <w:szCs w:val="24"/>
        </w:rPr>
      </w:pPr>
    </w:p>
    <w:p w:rsidR="009A52BC" w:rsidRDefault="009A52BC" w:rsidP="006C69AC">
      <w:pPr>
        <w:spacing w:after="0"/>
        <w:jc w:val="both"/>
        <w:rPr>
          <w:rFonts w:ascii="Times New Roman" w:hAnsi="Times New Roman" w:cs="Times New Roman"/>
          <w:b/>
          <w:sz w:val="24"/>
          <w:szCs w:val="24"/>
        </w:rPr>
      </w:pPr>
      <w:r w:rsidRPr="009A52BC">
        <w:rPr>
          <w:rFonts w:ascii="Times New Roman" w:hAnsi="Times New Roman" w:cs="Times New Roman"/>
          <w:b/>
          <w:sz w:val="24"/>
          <w:szCs w:val="24"/>
        </w:rPr>
        <w:t xml:space="preserve">Non si risolve in danno biologico il turbamento interiore, lo stato di ansia e di disagio che ineludibilmente accompagna eventi che incidono negativamente nelle aspettative di vita, ma che non superano la soglia di tollerabilità in persone, per di più, con struttura mentale orientata allo svolgimento dei delicati ed impegnativi compiti nel settore dell’ordine e della sicurezza pubblica. </w:t>
      </w:r>
    </w:p>
    <w:p w:rsidR="00AF54AF" w:rsidRDefault="00AF54AF" w:rsidP="006C69AC">
      <w:pPr>
        <w:spacing w:after="0"/>
        <w:jc w:val="both"/>
        <w:rPr>
          <w:rFonts w:ascii="Times New Roman" w:hAnsi="Times New Roman" w:cs="Times New Roman"/>
          <w:b/>
          <w:sz w:val="24"/>
          <w:szCs w:val="24"/>
        </w:rPr>
      </w:pPr>
    </w:p>
    <w:p w:rsidR="00AF54AF" w:rsidRDefault="00AF54AF" w:rsidP="006C69AC">
      <w:pPr>
        <w:spacing w:after="0"/>
        <w:jc w:val="both"/>
        <w:rPr>
          <w:rFonts w:ascii="Times New Roman" w:hAnsi="Times New Roman" w:cs="Times New Roman"/>
          <w:sz w:val="24"/>
          <w:szCs w:val="24"/>
        </w:rPr>
      </w:pPr>
      <w:r>
        <w:rPr>
          <w:rFonts w:ascii="Times New Roman" w:hAnsi="Times New Roman" w:cs="Times New Roman"/>
          <w:sz w:val="24"/>
          <w:szCs w:val="24"/>
        </w:rPr>
        <w:t>Ricognizione:</w:t>
      </w:r>
    </w:p>
    <w:p w:rsidR="00AF54AF" w:rsidRDefault="00AF54AF" w:rsidP="006C69AC">
      <w:pPr>
        <w:spacing w:after="0"/>
        <w:jc w:val="both"/>
        <w:rPr>
          <w:rFonts w:ascii="Times New Roman" w:hAnsi="Times New Roman" w:cs="Times New Roman"/>
          <w:sz w:val="24"/>
          <w:szCs w:val="24"/>
        </w:rPr>
      </w:pPr>
    </w:p>
    <w:p w:rsidR="00AF54AF" w:rsidRDefault="00ED7E82" w:rsidP="006C69AC">
      <w:pPr>
        <w:spacing w:after="0"/>
        <w:jc w:val="both"/>
        <w:rPr>
          <w:rFonts w:ascii="Times New Roman" w:hAnsi="Times New Roman" w:cs="Times New Roman"/>
          <w:sz w:val="24"/>
          <w:szCs w:val="24"/>
        </w:rPr>
      </w:pPr>
      <w:r>
        <w:rPr>
          <w:rFonts w:ascii="Times New Roman" w:hAnsi="Times New Roman" w:cs="Times New Roman"/>
          <w:sz w:val="24"/>
          <w:szCs w:val="24"/>
        </w:rPr>
        <w:t>Un agente ausiliari</w:t>
      </w:r>
      <w:r w:rsidR="00BA6989">
        <w:rPr>
          <w:rFonts w:ascii="Times New Roman" w:hAnsi="Times New Roman" w:cs="Times New Roman"/>
          <w:sz w:val="24"/>
          <w:szCs w:val="24"/>
        </w:rPr>
        <w:t>o</w:t>
      </w:r>
      <w:r>
        <w:rPr>
          <w:rFonts w:ascii="Times New Roman" w:hAnsi="Times New Roman" w:cs="Times New Roman"/>
          <w:sz w:val="24"/>
          <w:szCs w:val="24"/>
        </w:rPr>
        <w:t xml:space="preserve"> di P. S. era sospeso dal servizio in quanto indagato in sede penale. Successivamente veniva assolto, ma la riammissione definitiva in servizio avveniva so</w:t>
      </w:r>
      <w:r w:rsidR="00BA6989">
        <w:rPr>
          <w:rFonts w:ascii="Times New Roman" w:hAnsi="Times New Roman" w:cs="Times New Roman"/>
          <w:sz w:val="24"/>
          <w:szCs w:val="24"/>
        </w:rPr>
        <w:t>ltanto a distanza di dieci anni, durante i quali si esauriva il relativo contenzioso amministrativo.</w:t>
      </w:r>
    </w:p>
    <w:p w:rsidR="00375BB9" w:rsidRPr="00AF54AF" w:rsidRDefault="00375BB9" w:rsidP="006C69AC">
      <w:pPr>
        <w:spacing w:after="0"/>
        <w:jc w:val="both"/>
        <w:rPr>
          <w:rFonts w:ascii="Times New Roman" w:hAnsi="Times New Roman" w:cs="Times New Roman"/>
          <w:sz w:val="24"/>
          <w:szCs w:val="24"/>
        </w:rPr>
      </w:pPr>
      <w:r>
        <w:rPr>
          <w:rFonts w:ascii="Times New Roman" w:hAnsi="Times New Roman" w:cs="Times New Roman"/>
          <w:sz w:val="24"/>
          <w:szCs w:val="24"/>
        </w:rPr>
        <w:t xml:space="preserve">La sentenza di primo </w:t>
      </w:r>
      <w:r w:rsidR="00595AFA">
        <w:rPr>
          <w:rFonts w:ascii="Times New Roman" w:hAnsi="Times New Roman" w:cs="Times New Roman"/>
          <w:sz w:val="24"/>
          <w:szCs w:val="24"/>
        </w:rPr>
        <w:t>grado accoglieva</w:t>
      </w:r>
      <w:r>
        <w:rPr>
          <w:rFonts w:ascii="Times New Roman" w:hAnsi="Times New Roman" w:cs="Times New Roman"/>
          <w:sz w:val="24"/>
          <w:szCs w:val="24"/>
        </w:rPr>
        <w:t xml:space="preserve"> in parte le sue istanze risarcitorie</w:t>
      </w:r>
      <w:r w:rsidR="00595AFA">
        <w:rPr>
          <w:rFonts w:ascii="Times New Roman" w:hAnsi="Times New Roman" w:cs="Times New Roman"/>
          <w:sz w:val="24"/>
          <w:szCs w:val="24"/>
        </w:rPr>
        <w:t xml:space="preserve">, riconoscendo il solo danno da ritardo, </w:t>
      </w:r>
      <w:r>
        <w:rPr>
          <w:rFonts w:ascii="Times New Roman" w:hAnsi="Times New Roman" w:cs="Times New Roman"/>
          <w:sz w:val="24"/>
          <w:szCs w:val="24"/>
        </w:rPr>
        <w:t xml:space="preserve"> e veniva, dunque, impugnata dinanzi al Consiglio di Stato.</w:t>
      </w:r>
    </w:p>
    <w:p w:rsidR="00AF54AF" w:rsidRDefault="00595AFA" w:rsidP="006C69AC">
      <w:pPr>
        <w:spacing w:after="0"/>
        <w:jc w:val="both"/>
        <w:rPr>
          <w:rFonts w:ascii="Times New Roman" w:hAnsi="Times New Roman" w:cs="Times New Roman"/>
          <w:sz w:val="24"/>
          <w:szCs w:val="24"/>
        </w:rPr>
      </w:pPr>
      <w:r>
        <w:rPr>
          <w:rFonts w:ascii="Times New Roman" w:hAnsi="Times New Roman" w:cs="Times New Roman"/>
          <w:sz w:val="24"/>
          <w:szCs w:val="24"/>
        </w:rPr>
        <w:t>I giudici amministrativi accolgono parzialmente le doglianze dell’ appellante, evidenziando, in primo luogo, che l’ atteggiamento dell’ amministrazione non può considerarsi non colposo, atteso che essa non ha proceduto all’ adeguato vaglio dei presupposti per la sospensione cautelare del servizio, individuati dall’ art. 9, comma 2, d. P. R. 747/1981.</w:t>
      </w:r>
      <w:r w:rsidR="006B1DE1">
        <w:rPr>
          <w:rFonts w:ascii="Times New Roman" w:hAnsi="Times New Roman" w:cs="Times New Roman"/>
          <w:sz w:val="24"/>
          <w:szCs w:val="24"/>
        </w:rPr>
        <w:t xml:space="preserve"> Va dunque riconosciuto il risarcimento del danno patrimoniale quanto</w:t>
      </w:r>
      <w:r w:rsidR="00896B8F">
        <w:rPr>
          <w:rFonts w:ascii="Times New Roman" w:hAnsi="Times New Roman" w:cs="Times New Roman"/>
          <w:sz w:val="24"/>
          <w:szCs w:val="24"/>
        </w:rPr>
        <w:t xml:space="preserve"> quello</w:t>
      </w:r>
      <w:r w:rsidR="006B1DE1">
        <w:rPr>
          <w:rFonts w:ascii="Times New Roman" w:hAnsi="Times New Roman" w:cs="Times New Roman"/>
          <w:sz w:val="24"/>
          <w:szCs w:val="24"/>
        </w:rPr>
        <w:t xml:space="preserve"> non patrimoniale. Il primo viene liquidato equitativamente nel 50% delle retribuzioni previste per la qualifica da conferire.</w:t>
      </w:r>
    </w:p>
    <w:p w:rsidR="006B1DE1" w:rsidRDefault="00896B8F" w:rsidP="006C69AC">
      <w:pPr>
        <w:spacing w:after="0"/>
        <w:jc w:val="both"/>
        <w:rPr>
          <w:rFonts w:ascii="Times New Roman" w:hAnsi="Times New Roman" w:cs="Times New Roman"/>
          <w:sz w:val="24"/>
          <w:szCs w:val="24"/>
        </w:rPr>
      </w:pPr>
      <w:r>
        <w:rPr>
          <w:rFonts w:ascii="Times New Roman" w:hAnsi="Times New Roman" w:cs="Times New Roman"/>
          <w:sz w:val="24"/>
          <w:szCs w:val="24"/>
        </w:rPr>
        <w:t>Tuttavia, per quanto riguarda il secondo,</w:t>
      </w:r>
      <w:r w:rsidR="00257941">
        <w:rPr>
          <w:rFonts w:ascii="Times New Roman" w:hAnsi="Times New Roman" w:cs="Times New Roman"/>
          <w:sz w:val="24"/>
          <w:szCs w:val="24"/>
        </w:rPr>
        <w:t xml:space="preserve"> pur sussistendo l’ elemento psicologico della P. A., non è dato riscontrare un danno biologico, morale o esistenziale che superi la soglia della normale tollerabilità. Difatti, all’ atto della riammissione in servizio non è stato riscontrata, nella sfera psicologica del ricorrente, alcuna patologia degenerativa </w:t>
      </w:r>
      <w:proofErr w:type="spellStart"/>
      <w:r w:rsidR="00257941">
        <w:rPr>
          <w:rFonts w:ascii="Times New Roman" w:hAnsi="Times New Roman" w:cs="Times New Roman"/>
          <w:sz w:val="24"/>
          <w:szCs w:val="24"/>
        </w:rPr>
        <w:t>nosologicamente</w:t>
      </w:r>
      <w:proofErr w:type="spellEnd"/>
      <w:r w:rsidR="00257941">
        <w:rPr>
          <w:rFonts w:ascii="Times New Roman" w:hAnsi="Times New Roman" w:cs="Times New Roman"/>
          <w:sz w:val="24"/>
          <w:szCs w:val="24"/>
        </w:rPr>
        <w:t xml:space="preserve"> apprezzabile. Né, tantomeno, i patimenti psicologici temporanei subiti dall’ imputato hanno superato la soglia della normale tollerabilità, attesa la sua particolare resistenza psicologica ed abitudine allo stress. Infine, non si è riscontrata la lesione di alcun interesse costituzionalmente protetto ed, in particolar modo, del diritto al lavoro, dal momento che la sospensione cautelare dal servizio non ha intaccato le ulteriori opportunità lavorative del ricorrente.</w:t>
      </w:r>
    </w:p>
    <w:p w:rsidR="00272DD0" w:rsidRDefault="00272DD0" w:rsidP="006C69AC">
      <w:pPr>
        <w:spacing w:after="0"/>
        <w:jc w:val="both"/>
        <w:rPr>
          <w:rFonts w:ascii="Times New Roman" w:hAnsi="Times New Roman" w:cs="Times New Roman"/>
          <w:sz w:val="24"/>
          <w:szCs w:val="24"/>
        </w:rPr>
      </w:pPr>
    </w:p>
    <w:p w:rsidR="00272DD0" w:rsidRDefault="00272DD0" w:rsidP="006C69AC">
      <w:pPr>
        <w:spacing w:after="0"/>
        <w:jc w:val="both"/>
        <w:rPr>
          <w:rFonts w:ascii="Times New Roman" w:hAnsi="Times New Roman" w:cs="Times New Roman"/>
          <w:sz w:val="24"/>
          <w:szCs w:val="24"/>
        </w:rPr>
      </w:pPr>
      <w:r>
        <w:rPr>
          <w:rFonts w:ascii="Times New Roman" w:hAnsi="Times New Roman" w:cs="Times New Roman"/>
          <w:b/>
          <w:sz w:val="24"/>
          <w:szCs w:val="24"/>
        </w:rPr>
        <w:t xml:space="preserve">Giurisprudenza conforme: </w:t>
      </w:r>
      <w:r>
        <w:rPr>
          <w:rFonts w:ascii="Times New Roman" w:hAnsi="Times New Roman" w:cs="Times New Roman"/>
          <w:sz w:val="24"/>
          <w:szCs w:val="24"/>
        </w:rPr>
        <w:t>Cons. St., 2 ottobre 2002, n. 5174; Cass., Sez. Un., 14 dicembre 2007, n. 1324.</w:t>
      </w:r>
    </w:p>
    <w:p w:rsidR="00272DD0" w:rsidRDefault="00272DD0" w:rsidP="006C69AC">
      <w:pPr>
        <w:spacing w:after="0"/>
        <w:jc w:val="both"/>
        <w:rPr>
          <w:rFonts w:ascii="Times New Roman" w:hAnsi="Times New Roman" w:cs="Times New Roman"/>
          <w:sz w:val="24"/>
          <w:szCs w:val="24"/>
        </w:rPr>
      </w:pPr>
    </w:p>
    <w:p w:rsidR="00272DD0" w:rsidRDefault="00272DD0" w:rsidP="006C69AC">
      <w:pPr>
        <w:spacing w:after="0"/>
        <w:jc w:val="both"/>
        <w:rPr>
          <w:rFonts w:ascii="Times New Roman" w:hAnsi="Times New Roman" w:cs="Times New Roman"/>
          <w:sz w:val="24"/>
          <w:szCs w:val="24"/>
        </w:rPr>
      </w:pPr>
      <w:r>
        <w:rPr>
          <w:rFonts w:ascii="Times New Roman" w:hAnsi="Times New Roman" w:cs="Times New Roman"/>
          <w:b/>
          <w:sz w:val="24"/>
          <w:szCs w:val="24"/>
        </w:rPr>
        <w:t xml:space="preserve">Riferimenti normativi: </w:t>
      </w:r>
      <w:r>
        <w:rPr>
          <w:rFonts w:ascii="Times New Roman" w:hAnsi="Times New Roman" w:cs="Times New Roman"/>
          <w:sz w:val="24"/>
          <w:szCs w:val="24"/>
        </w:rPr>
        <w:t>artt. 27, comma 2 e 97 Cost.;</w:t>
      </w:r>
      <w:r>
        <w:rPr>
          <w:rFonts w:ascii="Times New Roman" w:hAnsi="Times New Roman" w:cs="Times New Roman"/>
          <w:b/>
          <w:sz w:val="24"/>
          <w:szCs w:val="24"/>
        </w:rPr>
        <w:t xml:space="preserve"> </w:t>
      </w:r>
      <w:r>
        <w:rPr>
          <w:rFonts w:ascii="Times New Roman" w:hAnsi="Times New Roman" w:cs="Times New Roman"/>
          <w:sz w:val="24"/>
          <w:szCs w:val="24"/>
        </w:rPr>
        <w:t xml:space="preserve">artt. 1218, 1223, 1225, 1227, 1226, 2043, 2056 e 2059 c. c.; art. 9, comma 2, d. P. R., 747/1981; </w:t>
      </w:r>
    </w:p>
    <w:p w:rsidR="00CB274D" w:rsidRDefault="00CB274D" w:rsidP="006C69AC">
      <w:pPr>
        <w:spacing w:after="0"/>
        <w:jc w:val="both"/>
        <w:rPr>
          <w:rFonts w:ascii="Times New Roman" w:hAnsi="Times New Roman" w:cs="Times New Roman"/>
          <w:sz w:val="24"/>
          <w:szCs w:val="24"/>
        </w:rPr>
      </w:pPr>
    </w:p>
    <w:p w:rsidR="00CB274D" w:rsidRDefault="00CB274D" w:rsidP="006C69AC">
      <w:pPr>
        <w:spacing w:after="0"/>
        <w:jc w:val="both"/>
        <w:rPr>
          <w:rFonts w:ascii="Times New Roman" w:hAnsi="Times New Roman" w:cs="Times New Roman"/>
          <w:sz w:val="24"/>
          <w:szCs w:val="24"/>
        </w:rPr>
      </w:pPr>
    </w:p>
    <w:p w:rsidR="00CB274D" w:rsidRDefault="00CB274D" w:rsidP="006C69AC">
      <w:pPr>
        <w:spacing w:after="0"/>
        <w:jc w:val="both"/>
        <w:rPr>
          <w:rFonts w:ascii="Times New Roman" w:hAnsi="Times New Roman" w:cs="Times New Roman"/>
          <w:sz w:val="24"/>
          <w:szCs w:val="24"/>
        </w:rPr>
      </w:pPr>
    </w:p>
    <w:p w:rsidR="00CB274D" w:rsidRDefault="00CB274D" w:rsidP="006C69AC">
      <w:pPr>
        <w:spacing w:after="0"/>
        <w:jc w:val="both"/>
        <w:rPr>
          <w:rFonts w:ascii="Times New Roman" w:hAnsi="Times New Roman" w:cs="Times New Roman"/>
          <w:sz w:val="24"/>
          <w:szCs w:val="24"/>
        </w:rPr>
      </w:pPr>
    </w:p>
    <w:p w:rsidR="00CB274D" w:rsidRPr="00541261" w:rsidRDefault="00CB274D" w:rsidP="00CB274D">
      <w:pPr>
        <w:spacing w:after="0"/>
        <w:jc w:val="both"/>
        <w:rPr>
          <w:rFonts w:ascii="Times New Roman" w:hAnsi="Times New Roman"/>
          <w:sz w:val="20"/>
          <w:szCs w:val="20"/>
          <w:u w:val="single"/>
        </w:rPr>
      </w:pPr>
      <w:r w:rsidRPr="00541261">
        <w:rPr>
          <w:rFonts w:ascii="Times New Roman" w:hAnsi="Times New Roman"/>
          <w:sz w:val="20"/>
          <w:szCs w:val="20"/>
          <w:u w:val="single"/>
        </w:rPr>
        <w:t>Aggiornamento settimanale a cura:</w:t>
      </w:r>
    </w:p>
    <w:p w:rsidR="00CB274D" w:rsidRPr="00541261" w:rsidRDefault="00CB274D" w:rsidP="00CB274D">
      <w:pPr>
        <w:spacing w:after="0"/>
        <w:jc w:val="both"/>
        <w:rPr>
          <w:rFonts w:ascii="Times New Roman" w:hAnsi="Times New Roman"/>
          <w:b/>
          <w:sz w:val="20"/>
          <w:szCs w:val="20"/>
        </w:rPr>
      </w:pPr>
      <w:r w:rsidRPr="00334C37">
        <w:rPr>
          <w:rFonts w:ascii="Times New Roman" w:hAnsi="Times New Roman"/>
          <w:sz w:val="20"/>
          <w:szCs w:val="20"/>
        </w:rPr>
        <w:t xml:space="preserve">del </w:t>
      </w:r>
      <w:r>
        <w:rPr>
          <w:rFonts w:ascii="Times New Roman" w:hAnsi="Times New Roman"/>
          <w:sz w:val="20"/>
          <w:szCs w:val="20"/>
        </w:rPr>
        <w:t>D</w:t>
      </w:r>
      <w:r w:rsidRPr="00334C37">
        <w:rPr>
          <w:rFonts w:ascii="Times New Roman" w:hAnsi="Times New Roman"/>
          <w:sz w:val="20"/>
          <w:szCs w:val="20"/>
        </w:rPr>
        <w:t xml:space="preserve">ipartimento di ricerca e sviluppo dell’ </w:t>
      </w:r>
      <w:r w:rsidRPr="00541261">
        <w:rPr>
          <w:rFonts w:ascii="Times New Roman" w:hAnsi="Times New Roman"/>
          <w:b/>
          <w:sz w:val="20"/>
          <w:szCs w:val="20"/>
        </w:rPr>
        <w:t xml:space="preserve">Istituto di Studi Giuridici M&amp;C. </w:t>
      </w:r>
      <w:proofErr w:type="spellStart"/>
      <w:r w:rsidRPr="00541261">
        <w:rPr>
          <w:rFonts w:ascii="Times New Roman" w:hAnsi="Times New Roman"/>
          <w:b/>
          <w:sz w:val="20"/>
          <w:szCs w:val="20"/>
        </w:rPr>
        <w:t>Militerni</w:t>
      </w:r>
      <w:proofErr w:type="spellEnd"/>
      <w:r w:rsidRPr="00541261">
        <w:rPr>
          <w:rFonts w:ascii="Times New Roman" w:hAnsi="Times New Roman"/>
          <w:b/>
          <w:sz w:val="20"/>
          <w:szCs w:val="20"/>
        </w:rPr>
        <w:t>.</w:t>
      </w:r>
    </w:p>
    <w:p w:rsidR="00CB274D" w:rsidRPr="00334C37" w:rsidRDefault="00CB274D" w:rsidP="00CB274D">
      <w:pPr>
        <w:spacing w:after="0"/>
        <w:jc w:val="both"/>
        <w:rPr>
          <w:rFonts w:ascii="Times New Roman" w:hAnsi="Times New Roman"/>
          <w:sz w:val="20"/>
          <w:szCs w:val="20"/>
        </w:rPr>
      </w:pPr>
      <w:r w:rsidRPr="00334C37">
        <w:rPr>
          <w:rFonts w:ascii="Times New Roman" w:hAnsi="Times New Roman"/>
          <w:sz w:val="20"/>
          <w:szCs w:val="20"/>
        </w:rPr>
        <w:t xml:space="preserve">Coordinatore : </w:t>
      </w:r>
      <w:r w:rsidRPr="00541261">
        <w:rPr>
          <w:rFonts w:ascii="Times New Roman" w:hAnsi="Times New Roman"/>
          <w:b/>
          <w:sz w:val="20"/>
          <w:szCs w:val="20"/>
        </w:rPr>
        <w:t xml:space="preserve">dott. Alessandro De </w:t>
      </w:r>
      <w:proofErr w:type="spellStart"/>
      <w:r w:rsidRPr="00541261">
        <w:rPr>
          <w:rFonts w:ascii="Times New Roman" w:hAnsi="Times New Roman"/>
          <w:b/>
          <w:sz w:val="20"/>
          <w:szCs w:val="20"/>
        </w:rPr>
        <w:t>Santis</w:t>
      </w:r>
      <w:proofErr w:type="spellEnd"/>
      <w:r>
        <w:rPr>
          <w:rFonts w:ascii="Times New Roman" w:hAnsi="Times New Roman"/>
          <w:sz w:val="20"/>
          <w:szCs w:val="20"/>
        </w:rPr>
        <w:t>.</w:t>
      </w:r>
    </w:p>
    <w:p w:rsidR="00CB274D" w:rsidRPr="00272DD0" w:rsidRDefault="00CB274D" w:rsidP="006C69AC">
      <w:pPr>
        <w:spacing w:after="0"/>
        <w:jc w:val="both"/>
        <w:rPr>
          <w:rFonts w:ascii="Times New Roman" w:hAnsi="Times New Roman" w:cs="Times New Roman"/>
          <w:sz w:val="24"/>
          <w:szCs w:val="24"/>
        </w:rPr>
      </w:pPr>
    </w:p>
    <w:sectPr w:rsidR="00CB274D" w:rsidRPr="00272DD0" w:rsidSect="00143D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60595"/>
    <w:rsid w:val="0000145C"/>
    <w:rsid w:val="00002FCE"/>
    <w:rsid w:val="00003EE1"/>
    <w:rsid w:val="0001142D"/>
    <w:rsid w:val="00012802"/>
    <w:rsid w:val="00015757"/>
    <w:rsid w:val="00064454"/>
    <w:rsid w:val="00075538"/>
    <w:rsid w:val="00084221"/>
    <w:rsid w:val="000B2349"/>
    <w:rsid w:val="000B3ACA"/>
    <w:rsid w:val="000E6F27"/>
    <w:rsid w:val="000F788D"/>
    <w:rsid w:val="00112EE6"/>
    <w:rsid w:val="001241B6"/>
    <w:rsid w:val="0012528B"/>
    <w:rsid w:val="00133E8D"/>
    <w:rsid w:val="0014036B"/>
    <w:rsid w:val="00143D3E"/>
    <w:rsid w:val="00155764"/>
    <w:rsid w:val="00155F45"/>
    <w:rsid w:val="001652F1"/>
    <w:rsid w:val="00177CEE"/>
    <w:rsid w:val="0018671D"/>
    <w:rsid w:val="00187175"/>
    <w:rsid w:val="001915A7"/>
    <w:rsid w:val="001A01AB"/>
    <w:rsid w:val="001C6410"/>
    <w:rsid w:val="001D021F"/>
    <w:rsid w:val="001F530B"/>
    <w:rsid w:val="001F6823"/>
    <w:rsid w:val="00224F1A"/>
    <w:rsid w:val="00232479"/>
    <w:rsid w:val="00237E7B"/>
    <w:rsid w:val="002406BA"/>
    <w:rsid w:val="002458A9"/>
    <w:rsid w:val="00257941"/>
    <w:rsid w:val="00260595"/>
    <w:rsid w:val="00272DD0"/>
    <w:rsid w:val="00282C83"/>
    <w:rsid w:val="00285233"/>
    <w:rsid w:val="00285250"/>
    <w:rsid w:val="002A152F"/>
    <w:rsid w:val="002B6E19"/>
    <w:rsid w:val="00301798"/>
    <w:rsid w:val="003525E5"/>
    <w:rsid w:val="00375BB9"/>
    <w:rsid w:val="0037733D"/>
    <w:rsid w:val="003948DE"/>
    <w:rsid w:val="00396FBD"/>
    <w:rsid w:val="00397117"/>
    <w:rsid w:val="003B5162"/>
    <w:rsid w:val="003E2770"/>
    <w:rsid w:val="00403637"/>
    <w:rsid w:val="00426C55"/>
    <w:rsid w:val="00431E0F"/>
    <w:rsid w:val="004562DB"/>
    <w:rsid w:val="00471FF3"/>
    <w:rsid w:val="0048265F"/>
    <w:rsid w:val="004A012E"/>
    <w:rsid w:val="004C11ED"/>
    <w:rsid w:val="004C123B"/>
    <w:rsid w:val="004C443D"/>
    <w:rsid w:val="004F7B47"/>
    <w:rsid w:val="0057435A"/>
    <w:rsid w:val="00577A8C"/>
    <w:rsid w:val="005830C7"/>
    <w:rsid w:val="00594519"/>
    <w:rsid w:val="00595AFA"/>
    <w:rsid w:val="005A73D4"/>
    <w:rsid w:val="005A7A6B"/>
    <w:rsid w:val="005B30BE"/>
    <w:rsid w:val="005C3330"/>
    <w:rsid w:val="005D1C30"/>
    <w:rsid w:val="005E145C"/>
    <w:rsid w:val="005E69B8"/>
    <w:rsid w:val="005F2B5D"/>
    <w:rsid w:val="006101BA"/>
    <w:rsid w:val="00613D09"/>
    <w:rsid w:val="006538C8"/>
    <w:rsid w:val="00664787"/>
    <w:rsid w:val="00685F56"/>
    <w:rsid w:val="0069276F"/>
    <w:rsid w:val="006961C8"/>
    <w:rsid w:val="006B1DE1"/>
    <w:rsid w:val="006C04E4"/>
    <w:rsid w:val="006C69AC"/>
    <w:rsid w:val="006D37EE"/>
    <w:rsid w:val="006D543A"/>
    <w:rsid w:val="006F41FD"/>
    <w:rsid w:val="006F6C10"/>
    <w:rsid w:val="00703C16"/>
    <w:rsid w:val="007220E0"/>
    <w:rsid w:val="007302C0"/>
    <w:rsid w:val="00747B10"/>
    <w:rsid w:val="00750785"/>
    <w:rsid w:val="00754846"/>
    <w:rsid w:val="007579C2"/>
    <w:rsid w:val="00775092"/>
    <w:rsid w:val="007C3874"/>
    <w:rsid w:val="007D5490"/>
    <w:rsid w:val="007F3475"/>
    <w:rsid w:val="00802B50"/>
    <w:rsid w:val="00825DF4"/>
    <w:rsid w:val="00825E72"/>
    <w:rsid w:val="00831CC8"/>
    <w:rsid w:val="0083338B"/>
    <w:rsid w:val="00846ED2"/>
    <w:rsid w:val="008507D3"/>
    <w:rsid w:val="008514E8"/>
    <w:rsid w:val="008616BB"/>
    <w:rsid w:val="00884074"/>
    <w:rsid w:val="00896B8F"/>
    <w:rsid w:val="008A46CA"/>
    <w:rsid w:val="008B319F"/>
    <w:rsid w:val="008B551F"/>
    <w:rsid w:val="008C7DA7"/>
    <w:rsid w:val="008D2797"/>
    <w:rsid w:val="008D6C1E"/>
    <w:rsid w:val="008E1518"/>
    <w:rsid w:val="008F3BBC"/>
    <w:rsid w:val="00914839"/>
    <w:rsid w:val="00917947"/>
    <w:rsid w:val="00944068"/>
    <w:rsid w:val="00974591"/>
    <w:rsid w:val="00992E69"/>
    <w:rsid w:val="009932AC"/>
    <w:rsid w:val="009A4DEE"/>
    <w:rsid w:val="009A52BC"/>
    <w:rsid w:val="009C3EC6"/>
    <w:rsid w:val="009D125E"/>
    <w:rsid w:val="009D43E0"/>
    <w:rsid w:val="009E07C6"/>
    <w:rsid w:val="009E1E14"/>
    <w:rsid w:val="009E2BC0"/>
    <w:rsid w:val="009F3E10"/>
    <w:rsid w:val="00A077C3"/>
    <w:rsid w:val="00A12EAF"/>
    <w:rsid w:val="00A343AC"/>
    <w:rsid w:val="00A4330C"/>
    <w:rsid w:val="00A5582B"/>
    <w:rsid w:val="00A642E4"/>
    <w:rsid w:val="00A64CE3"/>
    <w:rsid w:val="00AA1448"/>
    <w:rsid w:val="00AA70CE"/>
    <w:rsid w:val="00AB7A3A"/>
    <w:rsid w:val="00AD1593"/>
    <w:rsid w:val="00AE173D"/>
    <w:rsid w:val="00AE63AD"/>
    <w:rsid w:val="00AF54AF"/>
    <w:rsid w:val="00B05027"/>
    <w:rsid w:val="00B212C1"/>
    <w:rsid w:val="00B26662"/>
    <w:rsid w:val="00B4147D"/>
    <w:rsid w:val="00B469AD"/>
    <w:rsid w:val="00B46C0E"/>
    <w:rsid w:val="00B53A81"/>
    <w:rsid w:val="00B67C94"/>
    <w:rsid w:val="00B76A39"/>
    <w:rsid w:val="00B82726"/>
    <w:rsid w:val="00B83858"/>
    <w:rsid w:val="00B934F2"/>
    <w:rsid w:val="00B95438"/>
    <w:rsid w:val="00B97FE6"/>
    <w:rsid w:val="00BA16BF"/>
    <w:rsid w:val="00BA6989"/>
    <w:rsid w:val="00BA7976"/>
    <w:rsid w:val="00C014EF"/>
    <w:rsid w:val="00C07CB7"/>
    <w:rsid w:val="00C23970"/>
    <w:rsid w:val="00C33A42"/>
    <w:rsid w:val="00C420F0"/>
    <w:rsid w:val="00C643FB"/>
    <w:rsid w:val="00C73680"/>
    <w:rsid w:val="00C80700"/>
    <w:rsid w:val="00C82478"/>
    <w:rsid w:val="00CB274D"/>
    <w:rsid w:val="00CB571C"/>
    <w:rsid w:val="00CB7F26"/>
    <w:rsid w:val="00CD57DE"/>
    <w:rsid w:val="00CE2DEE"/>
    <w:rsid w:val="00CE5A1F"/>
    <w:rsid w:val="00CF164F"/>
    <w:rsid w:val="00D362E7"/>
    <w:rsid w:val="00D4337E"/>
    <w:rsid w:val="00D50D42"/>
    <w:rsid w:val="00D55206"/>
    <w:rsid w:val="00D6328C"/>
    <w:rsid w:val="00D85240"/>
    <w:rsid w:val="00D85C3C"/>
    <w:rsid w:val="00DB5679"/>
    <w:rsid w:val="00DD490E"/>
    <w:rsid w:val="00E03483"/>
    <w:rsid w:val="00E24EFF"/>
    <w:rsid w:val="00E271CB"/>
    <w:rsid w:val="00E62F1E"/>
    <w:rsid w:val="00E70427"/>
    <w:rsid w:val="00E753FF"/>
    <w:rsid w:val="00E85188"/>
    <w:rsid w:val="00EA0366"/>
    <w:rsid w:val="00EB5C77"/>
    <w:rsid w:val="00EC0BED"/>
    <w:rsid w:val="00EC6E39"/>
    <w:rsid w:val="00ED1302"/>
    <w:rsid w:val="00ED260B"/>
    <w:rsid w:val="00ED2764"/>
    <w:rsid w:val="00ED7E82"/>
    <w:rsid w:val="00EF2834"/>
    <w:rsid w:val="00EF285B"/>
    <w:rsid w:val="00F15CB1"/>
    <w:rsid w:val="00F27E9C"/>
    <w:rsid w:val="00F36D28"/>
    <w:rsid w:val="00F43D24"/>
    <w:rsid w:val="00F43D44"/>
    <w:rsid w:val="00F4482C"/>
    <w:rsid w:val="00F564DA"/>
    <w:rsid w:val="00F5719B"/>
    <w:rsid w:val="00F6702B"/>
    <w:rsid w:val="00F85953"/>
    <w:rsid w:val="00F9759A"/>
    <w:rsid w:val="00FA1D8A"/>
    <w:rsid w:val="00FB1314"/>
    <w:rsid w:val="00FC263A"/>
    <w:rsid w:val="00FC4306"/>
    <w:rsid w:val="00FF7A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3D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5757"/>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CB27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2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73350">
      <w:bodyDiv w:val="1"/>
      <w:marLeft w:val="0"/>
      <w:marRight w:val="0"/>
      <w:marTop w:val="0"/>
      <w:marBottom w:val="0"/>
      <w:divBdr>
        <w:top w:val="none" w:sz="0" w:space="0" w:color="auto"/>
        <w:left w:val="none" w:sz="0" w:space="0" w:color="auto"/>
        <w:bottom w:val="none" w:sz="0" w:space="0" w:color="auto"/>
        <w:right w:val="none" w:sz="0" w:space="0" w:color="auto"/>
      </w:divBdr>
      <w:divsChild>
        <w:div w:id="1394892807">
          <w:marLeft w:val="0"/>
          <w:marRight w:val="0"/>
          <w:marTop w:val="0"/>
          <w:marBottom w:val="0"/>
          <w:divBdr>
            <w:top w:val="none" w:sz="0" w:space="0" w:color="auto"/>
            <w:left w:val="none" w:sz="0" w:space="0" w:color="auto"/>
            <w:bottom w:val="none" w:sz="0" w:space="0" w:color="auto"/>
            <w:right w:val="none" w:sz="0" w:space="0" w:color="auto"/>
          </w:divBdr>
        </w:div>
      </w:divsChild>
    </w:div>
    <w:div w:id="148596709">
      <w:bodyDiv w:val="1"/>
      <w:marLeft w:val="0"/>
      <w:marRight w:val="0"/>
      <w:marTop w:val="0"/>
      <w:marBottom w:val="0"/>
      <w:divBdr>
        <w:top w:val="none" w:sz="0" w:space="0" w:color="auto"/>
        <w:left w:val="none" w:sz="0" w:space="0" w:color="auto"/>
        <w:bottom w:val="none" w:sz="0" w:space="0" w:color="auto"/>
        <w:right w:val="none" w:sz="0" w:space="0" w:color="auto"/>
      </w:divBdr>
      <w:divsChild>
        <w:div w:id="160855459">
          <w:marLeft w:val="0"/>
          <w:marRight w:val="0"/>
          <w:marTop w:val="0"/>
          <w:marBottom w:val="0"/>
          <w:divBdr>
            <w:top w:val="none" w:sz="0" w:space="0" w:color="auto"/>
            <w:left w:val="none" w:sz="0" w:space="0" w:color="auto"/>
            <w:bottom w:val="none" w:sz="0" w:space="0" w:color="auto"/>
            <w:right w:val="none" w:sz="0" w:space="0" w:color="auto"/>
          </w:divBdr>
        </w:div>
      </w:divsChild>
    </w:div>
    <w:div w:id="239994536">
      <w:bodyDiv w:val="1"/>
      <w:marLeft w:val="0"/>
      <w:marRight w:val="0"/>
      <w:marTop w:val="0"/>
      <w:marBottom w:val="0"/>
      <w:divBdr>
        <w:top w:val="none" w:sz="0" w:space="0" w:color="auto"/>
        <w:left w:val="none" w:sz="0" w:space="0" w:color="auto"/>
        <w:bottom w:val="none" w:sz="0" w:space="0" w:color="auto"/>
        <w:right w:val="none" w:sz="0" w:space="0" w:color="auto"/>
      </w:divBdr>
      <w:divsChild>
        <w:div w:id="975257795">
          <w:marLeft w:val="0"/>
          <w:marRight w:val="0"/>
          <w:marTop w:val="0"/>
          <w:marBottom w:val="0"/>
          <w:divBdr>
            <w:top w:val="none" w:sz="0" w:space="0" w:color="auto"/>
            <w:left w:val="none" w:sz="0" w:space="0" w:color="auto"/>
            <w:bottom w:val="none" w:sz="0" w:space="0" w:color="auto"/>
            <w:right w:val="none" w:sz="0" w:space="0" w:color="auto"/>
          </w:divBdr>
        </w:div>
      </w:divsChild>
    </w:div>
    <w:div w:id="673924317">
      <w:bodyDiv w:val="1"/>
      <w:marLeft w:val="0"/>
      <w:marRight w:val="0"/>
      <w:marTop w:val="0"/>
      <w:marBottom w:val="0"/>
      <w:divBdr>
        <w:top w:val="none" w:sz="0" w:space="0" w:color="auto"/>
        <w:left w:val="none" w:sz="0" w:space="0" w:color="auto"/>
        <w:bottom w:val="none" w:sz="0" w:space="0" w:color="auto"/>
        <w:right w:val="none" w:sz="0" w:space="0" w:color="auto"/>
      </w:divBdr>
      <w:divsChild>
        <w:div w:id="445466501">
          <w:marLeft w:val="0"/>
          <w:marRight w:val="0"/>
          <w:marTop w:val="0"/>
          <w:marBottom w:val="0"/>
          <w:divBdr>
            <w:top w:val="none" w:sz="0" w:space="0" w:color="auto"/>
            <w:left w:val="none" w:sz="0" w:space="0" w:color="auto"/>
            <w:bottom w:val="none" w:sz="0" w:space="0" w:color="auto"/>
            <w:right w:val="none" w:sz="0" w:space="0" w:color="auto"/>
          </w:divBdr>
        </w:div>
      </w:divsChild>
    </w:div>
    <w:div w:id="891765988">
      <w:bodyDiv w:val="1"/>
      <w:marLeft w:val="0"/>
      <w:marRight w:val="0"/>
      <w:marTop w:val="0"/>
      <w:marBottom w:val="0"/>
      <w:divBdr>
        <w:top w:val="none" w:sz="0" w:space="0" w:color="auto"/>
        <w:left w:val="none" w:sz="0" w:space="0" w:color="auto"/>
        <w:bottom w:val="none" w:sz="0" w:space="0" w:color="auto"/>
        <w:right w:val="none" w:sz="0" w:space="0" w:color="auto"/>
      </w:divBdr>
      <w:divsChild>
        <w:div w:id="1390306606">
          <w:marLeft w:val="0"/>
          <w:marRight w:val="0"/>
          <w:marTop w:val="0"/>
          <w:marBottom w:val="0"/>
          <w:divBdr>
            <w:top w:val="none" w:sz="0" w:space="0" w:color="auto"/>
            <w:left w:val="none" w:sz="0" w:space="0" w:color="auto"/>
            <w:bottom w:val="none" w:sz="0" w:space="0" w:color="auto"/>
            <w:right w:val="none" w:sz="0" w:space="0" w:color="auto"/>
          </w:divBdr>
        </w:div>
      </w:divsChild>
    </w:div>
    <w:div w:id="1039933573">
      <w:bodyDiv w:val="1"/>
      <w:marLeft w:val="0"/>
      <w:marRight w:val="0"/>
      <w:marTop w:val="0"/>
      <w:marBottom w:val="0"/>
      <w:divBdr>
        <w:top w:val="none" w:sz="0" w:space="0" w:color="auto"/>
        <w:left w:val="none" w:sz="0" w:space="0" w:color="auto"/>
        <w:bottom w:val="none" w:sz="0" w:space="0" w:color="auto"/>
        <w:right w:val="none" w:sz="0" w:space="0" w:color="auto"/>
      </w:divBdr>
      <w:divsChild>
        <w:div w:id="176358565">
          <w:marLeft w:val="0"/>
          <w:marRight w:val="0"/>
          <w:marTop w:val="0"/>
          <w:marBottom w:val="0"/>
          <w:divBdr>
            <w:top w:val="none" w:sz="0" w:space="0" w:color="auto"/>
            <w:left w:val="none" w:sz="0" w:space="0" w:color="auto"/>
            <w:bottom w:val="none" w:sz="0" w:space="0" w:color="auto"/>
            <w:right w:val="none" w:sz="0" w:space="0" w:color="auto"/>
          </w:divBdr>
        </w:div>
      </w:divsChild>
    </w:div>
    <w:div w:id="1084643677">
      <w:bodyDiv w:val="1"/>
      <w:marLeft w:val="0"/>
      <w:marRight w:val="0"/>
      <w:marTop w:val="0"/>
      <w:marBottom w:val="0"/>
      <w:divBdr>
        <w:top w:val="none" w:sz="0" w:space="0" w:color="auto"/>
        <w:left w:val="none" w:sz="0" w:space="0" w:color="auto"/>
        <w:bottom w:val="none" w:sz="0" w:space="0" w:color="auto"/>
        <w:right w:val="none" w:sz="0" w:space="0" w:color="auto"/>
      </w:divBdr>
      <w:divsChild>
        <w:div w:id="1875582973">
          <w:marLeft w:val="0"/>
          <w:marRight w:val="0"/>
          <w:marTop w:val="0"/>
          <w:marBottom w:val="0"/>
          <w:divBdr>
            <w:top w:val="none" w:sz="0" w:space="0" w:color="auto"/>
            <w:left w:val="none" w:sz="0" w:space="0" w:color="auto"/>
            <w:bottom w:val="none" w:sz="0" w:space="0" w:color="auto"/>
            <w:right w:val="none" w:sz="0" w:space="0" w:color="auto"/>
          </w:divBdr>
        </w:div>
      </w:divsChild>
    </w:div>
    <w:div w:id="1244488027">
      <w:bodyDiv w:val="1"/>
      <w:marLeft w:val="0"/>
      <w:marRight w:val="0"/>
      <w:marTop w:val="0"/>
      <w:marBottom w:val="0"/>
      <w:divBdr>
        <w:top w:val="none" w:sz="0" w:space="0" w:color="auto"/>
        <w:left w:val="none" w:sz="0" w:space="0" w:color="auto"/>
        <w:bottom w:val="none" w:sz="0" w:space="0" w:color="auto"/>
        <w:right w:val="none" w:sz="0" w:space="0" w:color="auto"/>
      </w:divBdr>
      <w:divsChild>
        <w:div w:id="517934563">
          <w:marLeft w:val="0"/>
          <w:marRight w:val="0"/>
          <w:marTop w:val="0"/>
          <w:marBottom w:val="0"/>
          <w:divBdr>
            <w:top w:val="none" w:sz="0" w:space="0" w:color="auto"/>
            <w:left w:val="none" w:sz="0" w:space="0" w:color="auto"/>
            <w:bottom w:val="none" w:sz="0" w:space="0" w:color="auto"/>
            <w:right w:val="none" w:sz="0" w:space="0" w:color="auto"/>
          </w:divBdr>
        </w:div>
      </w:divsChild>
    </w:div>
    <w:div w:id="1616207963">
      <w:bodyDiv w:val="1"/>
      <w:marLeft w:val="0"/>
      <w:marRight w:val="0"/>
      <w:marTop w:val="0"/>
      <w:marBottom w:val="0"/>
      <w:divBdr>
        <w:top w:val="none" w:sz="0" w:space="0" w:color="auto"/>
        <w:left w:val="none" w:sz="0" w:space="0" w:color="auto"/>
        <w:bottom w:val="none" w:sz="0" w:space="0" w:color="auto"/>
        <w:right w:val="none" w:sz="0" w:space="0" w:color="auto"/>
      </w:divBdr>
      <w:divsChild>
        <w:div w:id="140391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2005</Words>
  <Characters>11435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Luisa</cp:lastModifiedBy>
  <cp:revision>3</cp:revision>
  <cp:lastPrinted>2013-06-17T07:32:00Z</cp:lastPrinted>
  <dcterms:created xsi:type="dcterms:W3CDTF">2013-06-17T07:14:00Z</dcterms:created>
  <dcterms:modified xsi:type="dcterms:W3CDTF">2013-06-17T07:32:00Z</dcterms:modified>
</cp:coreProperties>
</file>